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12240"/>
      </w:tblGrid>
      <w:tr>
        <w:trPr>
          <w:trHeight w:val="16839" w:hRule="atLeast"/>
        </w:trPr>
        <w:tc>
          <w:tcPr>
            <w:tcW w:type="dxa" w:w="12240"/>
            <w:shd w:val="clear" w:color="auto" w:fill="09314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tcMar>
              <w:top w:w="2400" w:type="dxa"/>
              <w:bottom w:w="900" w:type="dxa"/>
              <w:left w:w="900" w:type="dxa"/>
              <w:right w:w="900" w:type="dxa"/>
            </w:tcMar>
            <w:vAlign w:val="top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980000" cy="300712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-belisario-princip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0000" cy="300712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p>
            <w:r>
              <w:rPr>
                <w:sz w:val="60"/>
              </w:rPr>
            </w:r>
          </w:p>
          <w:p>
            <w:pPr>
              <w:spacing w:after="280"/>
              <w:jc w:val="center"/>
            </w:pPr>
            <w:r>
              <w:rPr>
                <w:rFonts w:ascii="Georgia" w:hAnsi="Georgia"/>
                <w:b/>
                <w:color w:val="C8D4DC"/>
                <w:sz w:val="18"/>
              </w:rPr>
              <w:t>BANCO DE TCLE ODONTOLÓGICO · ORTODONTIA</w:t>
            </w:r>
          </w:p>
          <w:p>
            <w:pPr>
              <w:spacing w:after="200" w:line="276" w:lineRule="auto"/>
              <w:jc w:val="center"/>
            </w:pPr>
            <w:r>
              <w:rPr>
                <w:rFonts w:ascii="Garamond" w:hAnsi="Garamond"/>
                <w:color w:val="FFFFFF"/>
                <w:sz w:val="48"/>
              </w:rPr>
              <w:t>TCLE</w:t>
              <w:br/>
              <w:t>Ortodontia</w:t>
            </w:r>
          </w:p>
          <w:p>
            <w:pPr>
              <w:spacing w:after="400"/>
              <w:jc w:val="center"/>
            </w:pPr>
            <w:r>
              <w:rPr>
                <w:rFonts w:ascii="Garamond" w:hAnsi="Garamond"/>
                <w:i/>
                <w:color w:val="C8D4DC"/>
                <w:sz w:val="24"/>
              </w:rPr>
              <w:t>Termo de Consentimento Livre e Esclarecido — Modelo Editável</w:t>
            </w:r>
          </w:p>
          <w:p>
            <w:pPr>
              <w:jc w:val="center"/>
            </w:pPr>
            <w:r>
              <w:rPr>
                <w:color w:val="D4AF37"/>
                <w:sz w:val="18"/>
              </w:rPr>
              <w:t>◆ ◆ ◆</w:t>
            </w:r>
          </w:p>
          <w:p>
            <w:r>
              <w:rPr>
                <w:sz w:val="160"/>
              </w:rPr>
            </w:r>
          </w:p>
          <w:p>
            <w:pPr>
              <w:spacing w:after="40"/>
              <w:jc w:val="center"/>
            </w:pPr>
            <w:r>
              <w:rPr>
                <w:rFonts w:ascii="Georgia" w:hAnsi="Georgia"/>
                <w:b/>
                <w:color w:val="FFFFFF"/>
                <w:sz w:val="18"/>
              </w:rPr>
              <w:t>BELISÁRIO MACIEL ADVOGADOS</w:t>
            </w:r>
          </w:p>
          <w:p>
            <w:pPr>
              <w:jc w:val="center"/>
            </w:pPr>
            <w:r>
              <w:rPr>
                <w:rFonts w:ascii="Georgia" w:hAnsi="Georgia"/>
                <w:i/>
                <w:color w:val="C8D4DC"/>
                <w:sz w:val="16"/>
              </w:rPr>
              <w:t>belisario.com.br · São Paulo</w:t>
            </w:r>
          </w:p>
        </w:tc>
      </w:tr>
    </w:tbl>
    <w:p>
      <w:pPr>
        <w:sectPr>
          <w:pgSz w:w="12240" w:h="15840"/>
          <w:pgMar w:top="0" w:right="0" w:bottom="0" w:left="0" w:header="0" w:footer="0" w:gutter="0"/>
          <w:cols w:space="720"/>
          <w:docGrid w:linePitch="360"/>
        </w:sectPr>
      </w:pPr>
    </w:p>
    <w:p>
      <w:pPr>
        <w:spacing w:after="0"/>
      </w:pPr>
    </w:p>
    <w:p>
      <w:pPr>
        <w:spacing w:before="240" w:after="160"/>
        <w:pBdr>
          <w:bottom w:val="single" w:sz="4" w:space="4" w:color="D4AF37"/>
        </w:pBdr>
      </w:pPr>
      <w:r>
        <w:rPr>
          <w:rFonts w:ascii="Garamond" w:hAnsi="Garamond"/>
          <w:color w:val="093145"/>
          <w:sz w:val="36"/>
        </w:rPr>
        <w:t>Como usar este modelo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Este modelo é um TEMPLATE EDITÁVEL para tratamento ortodôntico — aparelho fixo, removível ou alinhadores transparentes. Atende exigências da Resolução CFO 118/2012 e, no caso de alinhadores com qualquer modalidade de acompanhamento remoto, da Resolução CFO 226/2020 (teledentologia).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9066"/>
      </w:tblGrid>
      <w:tr>
        <w:tc>
          <w:tcPr>
            <w:tcW w:type="dxa" w:w="9066"/>
            <w:shd w:val="clear" w:color="auto" w:fill="F3EFEA"/>
            <w:tcBorders>
              <w:top w:val="nil"/>
              <w:bottom w:val="nil"/>
              <w:right w:val="nil"/>
              <w:left w:val="single" w:sz="24" w:color="9A2618"/>
            </w:tcBorders>
            <w:tcMar>
              <w:top w:w="200" w:type="dxa"/>
              <w:bottom w:w="200" w:type="dxa"/>
              <w:left w:w="300" w:type="dxa"/>
              <w:right w:w="300" w:type="dxa"/>
            </w:tcMar>
          </w:tcPr>
          <w:p>
            <w:r/>
            <w:r>
              <w:rPr>
                <w:rFonts w:ascii="Georgia" w:hAnsi="Georgia"/>
                <w:b/>
                <w:color w:val="9A2618"/>
                <w:sz w:val="18"/>
              </w:rPr>
              <w:t>IMPORTANTE — ALINHADORES TRANSPARENTES E RES. CFO 226/2020</w:t>
            </w:r>
          </w:p>
          <w:p>
            <w:pPr>
              <w:spacing w:line="312" w:lineRule="auto"/>
            </w:pPr>
            <w:r>
              <w:rPr>
                <w:rFonts w:ascii="Georgia" w:hAnsi="Georgia"/>
                <w:color w:val="111111"/>
                <w:sz w:val="20"/>
              </w:rPr>
              <w:t>A modalidade de tratamento ortodôntico com alinhadores transparentes EXIGE exame clínico presencial completo, planejamento individualizado e acompanhamento periódico presencial. Plataformas que oferecem tratamento integralmente à distância sem exame presencial não são compatíveis com a Res. CFO 226/2020 e expõem o profissional a infrações ético-disciplinares. Telemonitoramento entre consultas presenciais é permitido com TCLE específico (este modelo).</w:t>
            </w:r>
          </w:p>
        </w:tc>
      </w:tr>
    </w:tbl>
    <w:p>
      <w:pPr>
        <w:spacing w:after="80"/>
      </w:pPr>
    </w:p>
    <w:p>
      <w:pPr>
        <w:spacing w:before="240" w:after="240"/>
        <w:jc w:val="center"/>
      </w:pPr>
      <w:r>
        <w:rPr>
          <w:color w:val="D4AF37"/>
          <w:sz w:val="18"/>
        </w:rPr>
        <w:t>◆ ◆ ◆</w:t>
      </w:r>
    </w:p>
    <w:p>
      <w:pPr>
        <w:spacing w:after="0"/>
      </w:pPr>
    </w:p>
    <w:p>
      <w:pPr>
        <w:spacing w:before="240" w:after="160"/>
        <w:pBdr>
          <w:bottom w:val="single" w:sz="4" w:space="4" w:color="D4AF37"/>
        </w:pBdr>
      </w:pPr>
      <w:r>
        <w:rPr>
          <w:rFonts w:ascii="Garamond" w:hAnsi="Garamond"/>
          <w:color w:val="093145"/>
          <w:sz w:val="36"/>
        </w:rPr>
        <w:t>Termo de Consentimento Livre e Esclarecido — Ortodontia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1. Identificação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Paciente: [nome completo, CPF, RG, data de nascimento, endereço, telefone]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Responsável legal (quando aplicável): [nome completo, CPF, parentesco]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Profissional responsável: [nome completo, CRO/UF, especialidade em Ortodontia se houver]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Local: [endereço da clínica/consultório] · Data: ___/___/_______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2. Descrição técnica do procedimento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Será realizado tratamento ortodôntico com [aparelho fixo metálico / aparelho fixo estético (cerâmica) / aparelho removível / alinhadores transparentes / aparelho ortopédico] para [objetivo do tratamento — alinhamento, correção de mordida cruzada/aberta/profunda, fechamento de espaços, distalização, expansão, etc].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Tempo estimado de tratamento ativo: [meses/anos] — sujeito a variações conforme cooperação e resposta biológica.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Frequência de consultas: [periodicidade].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Necessidade de exodontias prévias: [sim/não — quais dentes, justificativa].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Plano de contenção pós-tratamento: [tipo e duração].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3. Indicação clínica específica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A indicação do tratamento ortodôntico baseia-se em: [diagnóstico — má oclusão Classe I/II/III, apinhamento, mordida aberta/cruzada, problemas funcionais, estéticos, periodontais]. Exames: [documentação ortodôntica completa — modelos, fotos, radiografia panorâmica, telerradiografia em norma lateral, análise cefalométrica].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4. Alternativas terapêuticas avaliadas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Foram apresentadas e discutidas com o paciente as seguintes alternativas: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[Tratamento ortodôntico com modalidade diferente — fixo vs alinhador, com vantagens e limitações]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[Tratamento ortodôntico-cirúrgico (ortognática) em casos esqueléticos]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[Tratamento restaurador estético sem ortodontia — facetas, lentes — com limitações funcionais]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[Não tratamento — manutenção do quadro com riscos de progressão de problemas funcionais e periodontais]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5. Riscos típicos e atípicos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Todo tratamento ortodôntico envolve riscos. Os principais incluem:</w:t>
      </w:r>
    </w:p>
    <w:p>
      <w:pPr>
        <w:keepNext/>
        <w:spacing w:before="200" w:after="40"/>
      </w:pPr>
      <w:r>
        <w:rPr>
          <w:rFonts w:ascii="Georgia" w:hAnsi="Georgia"/>
          <w:b/>
          <w:color w:val="9A2618"/>
          <w:sz w:val="21"/>
        </w:rPr>
        <w:t>Riscos típicos (mais frequentes)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Dor e desconforto nos primeiros dias após instalação e em cada ativação/troca de fio ou alinhador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Irritação da mucosa (lábios, língua, bochechas) por componentes do aparelho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Limitação alimentar temporária (dieta sem alimentos duros, pegajosos ou que exijam mordida com incisivos)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Hábito de fala temporariamente alterado nas primeiras semanas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Acúmulo de placa bacteriana com risco aumentado de cárie e gengivite se higiene for inadequada</w:t>
      </w:r>
    </w:p>
    <w:p>
      <w:pPr>
        <w:keepNext/>
        <w:spacing w:before="200" w:after="40"/>
      </w:pPr>
      <w:r>
        <w:rPr>
          <w:rFonts w:ascii="Georgia" w:hAnsi="Georgia"/>
          <w:b/>
          <w:color w:val="9A2618"/>
          <w:sz w:val="21"/>
        </w:rPr>
        <w:t>Riscos atípicos (menos frequentes, relevantes)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Reabsorção radicular apical — encurtamento parcial da raiz dos dentes, geralmente leve, raramente significativa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Recidiva (retorno parcial ao quadro inicial) após o tratamento, especialmente sem uso adequado da contenção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Anquilose dentária (fusão raiz-osso) com impacto na movimentação ortodôntica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Lesões cariosas e descalcificações (manchas brancas) ao redor de bráquetes em casos de higiene deficiente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Disfunção da articulação temporomandibular (DTM) em alguns pacientes suscetíveis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Necessidade de extensão do tempo de tratamento em casos de baixa cooperação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Necessidade de retratamento ou complementação cirúrgica em casos esqueléticos não previstos inicialmente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Reações alérgicas a componentes do aparelho (níquel) — raras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Em alinhadores transparentes: necessidade de attachments (pontos de resina), refinamentos com novos jogos de alinhadores, possível necessidade de migração para aparelho fixo em casos de movimento não obtido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9066"/>
      </w:tblGrid>
      <w:tr>
        <w:tc>
          <w:tcPr>
            <w:tcW w:type="dxa" w:w="9066"/>
            <w:shd w:val="clear" w:color="auto" w:fill="F3EFEA"/>
            <w:tcBorders>
              <w:top w:val="nil"/>
              <w:bottom w:val="nil"/>
              <w:right w:val="nil"/>
              <w:left w:val="single" w:sz="24" w:color="9A2618"/>
            </w:tcBorders>
            <w:tcMar>
              <w:top w:w="200" w:type="dxa"/>
              <w:bottom w:w="200" w:type="dxa"/>
              <w:left w:w="300" w:type="dxa"/>
              <w:right w:w="300" w:type="dxa"/>
            </w:tcMar>
          </w:tcPr>
          <w:p>
            <w:r/>
            <w:r>
              <w:rPr>
                <w:rFonts w:ascii="Georgia" w:hAnsi="Georgia"/>
                <w:b/>
                <w:color w:val="9A2618"/>
                <w:sz w:val="18"/>
              </w:rPr>
              <w:t>PERSONALIZAR CONFORME O CASO</w:t>
            </w:r>
          </w:p>
          <w:p>
            <w:pPr>
              <w:spacing w:line="312" w:lineRule="auto"/>
            </w:pPr>
            <w:r>
              <w:rPr>
                <w:rFonts w:ascii="Georgia" w:hAnsi="Georgia"/>
                <w:color w:val="111111"/>
                <w:sz w:val="20"/>
              </w:rPr>
              <w:t>Os riscos acima são gerais. A redação final deve incluir riscos específicos identificados na documentação ortodôntica: predisposição à reabsorção radicular (raízes curtas/finas), presença de DTM preexistente, dentes com tratamento endodôntico prévio (maior risco de anquilose), perfil do paciente (idade, motivação, capacidade de higiene), e particularidades do plano (extrações, expansão palatina cirúrgica, ortodontia pré-cirúrgica).</w:t>
            </w:r>
          </w:p>
        </w:tc>
      </w:tr>
    </w:tbl>
    <w:p>
      <w:pPr>
        <w:spacing w:after="80"/>
      </w:pP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6. Cuidados durante o tratamento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Higiene oral rigorosa: escovação após cada refeição, uso de escova interdental e fio dental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Dieta sem alimentos duros (gelo, balas duras, pipoca dura), pegajosos (caramelos, chicletes) ou que exijam mordida com incisivos (maçã, sanduíches inteiros)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Comparecer pontualmente às consultas de manutenção/troca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Em alinhadores: usar 22h/dia, retirar apenas para refeições e higiene; trocar conforme cronograma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Comunicar imediatamente quebras, descolagem de bráquetes, perda de elásticos ou alinhadores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Realizar consultas periodontais e de profilaxia conforme indicado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Não fumar (compromete cicatrização gengival e movimento ortodôntico)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7. Cuidados pós-tratamento (contenção)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Uso da contenção exatamente conforme prescrição — descumprimento causa recidiva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Tempo de uso variável (frequentemente indefinido em alguns pacientes)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Comparecer aos retornos de controle de contenção</w:t>
      </w:r>
    </w:p>
    <w:p>
      <w:pPr>
        <w:pStyle w:val="ListBullet"/>
        <w:spacing w:line="312" w:lineRule="auto" w:after="40"/>
      </w:pPr>
      <w:r>
        <w:rPr>
          <w:rFonts w:ascii="Georgia" w:hAnsi="Georgia"/>
          <w:sz w:val="21"/>
        </w:rPr>
        <w:t>Substituir contenção em caso de quebra ou perda imediatamente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8. Variabilidade de resultado — obrigação de meio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9066"/>
      </w:tblGrid>
      <w:tr>
        <w:tc>
          <w:tcPr>
            <w:tcW w:type="dxa" w:w="9066"/>
            <w:shd w:val="clear" w:color="auto" w:fill="F3EFEA"/>
            <w:tcBorders>
              <w:top w:val="nil"/>
              <w:bottom w:val="nil"/>
              <w:right w:val="nil"/>
              <w:left w:val="single" w:sz="24" w:color="9A2618"/>
            </w:tcBorders>
            <w:tcMar>
              <w:top w:w="200" w:type="dxa"/>
              <w:bottom w:w="200" w:type="dxa"/>
              <w:left w:w="300" w:type="dxa"/>
              <w:right w:w="300" w:type="dxa"/>
            </w:tcMar>
          </w:tcPr>
          <w:p>
            <w:r/>
            <w:r>
              <w:rPr>
                <w:rFonts w:ascii="Georgia" w:hAnsi="Georgia"/>
                <w:b/>
                <w:color w:val="9A2618"/>
                <w:sz w:val="18"/>
              </w:rPr>
              <w:t>CONSENTIMENTO SOBRE OBRIGAÇÃO DE MEIO</w:t>
            </w:r>
          </w:p>
          <w:p>
            <w:pPr>
              <w:spacing w:line="312" w:lineRule="auto"/>
            </w:pPr>
            <w:r>
              <w:rPr>
                <w:rFonts w:ascii="Georgia" w:hAnsi="Georgia"/>
                <w:color w:val="111111"/>
                <w:sz w:val="20"/>
              </w:rPr>
              <w:t>A Ortodontia é OBRIGAÇÃO DE MEIO — o profissional compromete-se a aplicar técnica diligente conforme estado da arte, mas NÃO GARANTE resultado idêntico ao planejado. O resultado depende fortemente da COOPERAÇÃO do paciente (uso correto, dieta, higiene, comparecimento às consultas, uso de elásticos, uso de contenção). A resposta biológica varia individualmente. Pequenos movimentos não obtidos ao final do tratamento podem ser inerentes à variabilidade biológica. A recidiva pós-tratamento é minimizada — não eliminada — pelo uso adequado da contenção.</w:t>
            </w:r>
          </w:p>
        </w:tc>
      </w:tr>
    </w:tbl>
    <w:p>
      <w:pPr>
        <w:spacing w:after="80"/>
      </w:pP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9. Direito de revogação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O paciente declara estar ciente de que pode revogar este consentimento a qualquer momento, interrompendo o tratamento. A interrupção precoce pode resultar em quadro pior que o inicial (dentes em posições intermediárias). A retomada posterior depende de novo planejamento.</w:t>
      </w:r>
    </w:p>
    <w:p>
      <w:pPr>
        <w:spacing w:before="240" w:after="240"/>
        <w:jc w:val="center"/>
      </w:pPr>
      <w:r>
        <w:rPr>
          <w:color w:val="D4AF37"/>
          <w:sz w:val="18"/>
        </w:rPr>
        <w:t>◆ ◆ ◆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Tratamento de dados pessoais (LGPD)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O paciente autoriza o tratamento de seus dados pessoais e de saúde para finalidade exclusivamente clínica, conforme a Lei 13.709/2018 (LGPD). Arquivamento pelo prazo mínimo legal (20 anos). Em caso de uso de plataforma digital de planejamento (alinhadores), o paciente autoriza o envio de dados clínicos e imagens à empresa do sistema de alinhadores, conforme política de privacidade informada separadamente.</w:t>
      </w:r>
    </w:p>
    <w:p>
      <w:pPr>
        <w:spacing w:before="240" w:after="240"/>
        <w:jc w:val="center"/>
      </w:pPr>
      <w:r>
        <w:rPr>
          <w:color w:val="D4AF37"/>
          <w:sz w:val="18"/>
        </w:rPr>
        <w:t>◆ ◆ ◆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Declaração final e assinaturas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Declaro que li integralmente este Termo, que minhas dúvidas foram esclarecidas pelo profissional, que compreendo a natureza do procedimento, alternativas, riscos, cuidados, importância da minha COOPERAÇÃO ATIVA e variabilidade de resultado, e que CONSINTO LIVRE E ESCLARECIDAMENTE com a realização do tratamento descrito.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br/>
        <w:t>_________________________________________________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Paciente (ou responsável legal): [nome] — CPF: [_______]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Data: ___/___/_______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br/>
        <w:t>_________________________________________________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Profissional responsável: [nome] — CRO/UF [_______]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t>Data: ___/___/_______</w:t>
      </w:r>
    </w:p>
    <w:p>
      <w:pPr>
        <w:spacing w:lineRule="auto" w:line="324" w:after="120"/>
        <w:jc w:val="both"/>
      </w:pPr>
      <w:r>
        <w:rPr>
          <w:rFonts w:ascii="Georgia" w:hAnsi="Georgia"/>
          <w:i w:val="0"/>
          <w:sz w:val="21"/>
        </w:rPr>
        <w:br/>
        <w:t>Testemunha (quando aplicável): _________________________________________________</w:t>
      </w:r>
    </w:p>
    <w:p>
      <w:pPr>
        <w:spacing w:before="240" w:after="240"/>
        <w:jc w:val="center"/>
      </w:pPr>
      <w:r>
        <w:rPr>
          <w:color w:val="D4AF37"/>
          <w:sz w:val="18"/>
        </w:rPr>
        <w:t>◆ ◆ ◆</w:t>
      </w:r>
    </w:p>
    <w:p>
      <w:pPr>
        <w:keepNext/>
        <w:spacing w:before="280" w:after="80"/>
      </w:pPr>
      <w:r>
        <w:rPr>
          <w:rFonts w:ascii="Garamond" w:hAnsi="Garamond"/>
          <w:b/>
          <w:color w:val="093145"/>
          <w:sz w:val="28"/>
        </w:rPr>
        <w:t>Quem está por trás deste material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252"/>
        <w:gridCol w:w="4252"/>
      </w:tblGrid>
      <w:tr>
        <w:tc>
          <w:tcPr>
            <w:tcW w:type="dxa" w:w="4533"/>
            <w:shd w:val="clear" w:color="auto" w:fill="F3EFE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tcMar>
              <w:top w:w="240" w:type="dxa"/>
              <w:bottom w:w="240" w:type="dxa"/>
              <w:left w:w="320" w:type="dxa"/>
              <w:right w:w="320" w:type="dxa"/>
            </w:tcMar>
          </w:tcPr>
          <w:p>
            <w:r/>
            <w:r>
              <w:rPr>
                <w:rFonts w:ascii="Georgia" w:hAnsi="Georgia"/>
                <w:b/>
                <w:color w:val="9A2618"/>
                <w:sz w:val="17"/>
              </w:rPr>
              <w:t>ELABORAÇÃO JURÍDICA</w:t>
            </w:r>
          </w:p>
          <w:p>
            <w:r>
              <w:rPr>
                <w:rFonts w:ascii="Garamond" w:hAnsi="Garamond"/>
                <w:b/>
                <w:color w:val="093145"/>
                <w:sz w:val="24"/>
              </w:rPr>
              <w:t>Dr. Luiggi Belisário · OAB/SP 513.090</w:t>
            </w:r>
          </w:p>
          <w:p>
            <w:r>
              <w:rPr>
                <w:rFonts w:ascii="Georgia" w:hAnsi="Georgia"/>
                <w:color w:val="111111"/>
                <w:sz w:val="18"/>
              </w:rPr>
              <w:t>Sócio-fundador · Belisário Maciel Advogados</w:t>
              <w:br/>
              <w:t>Direito Médico e Odontológico</w:t>
            </w:r>
          </w:p>
        </w:tc>
        <w:tc>
          <w:tcPr>
            <w:tcW w:type="dxa" w:w="4533"/>
            <w:shd w:val="clear" w:color="auto" w:fill="F3EFE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tcMar>
              <w:top w:w="240" w:type="dxa"/>
              <w:bottom w:w="240" w:type="dxa"/>
              <w:left w:w="320" w:type="dxa"/>
              <w:right w:w="320" w:type="dxa"/>
            </w:tcMar>
          </w:tcPr>
          <w:p>
            <w:r/>
            <w:r>
              <w:rPr>
                <w:rFonts w:ascii="Georgia" w:hAnsi="Georgia"/>
                <w:b/>
                <w:color w:val="9A2618"/>
                <w:sz w:val="17"/>
              </w:rPr>
              <w:t>VALIDAÇÃO TÉCNICA ODONTOLÓGICA</w:t>
            </w:r>
          </w:p>
          <w:p>
            <w:r>
              <w:rPr>
                <w:rFonts w:ascii="Garamond" w:hAnsi="Garamond"/>
                <w:b/>
                <w:color w:val="093145"/>
                <w:sz w:val="24"/>
              </w:rPr>
              <w:t>Dra. Bianca Stéfann Sousa Chagas</w:t>
            </w:r>
          </w:p>
          <w:p>
            <w:r>
              <w:rPr>
                <w:rFonts w:ascii="Georgia" w:hAnsi="Georgia"/>
                <w:color w:val="111111"/>
                <w:sz w:val="18"/>
              </w:rPr>
              <w:t>CRO/SP 152329</w:t>
              <w:br/>
              <w:t>Validação técnica odontológica</w:t>
            </w:r>
          </w:p>
        </w:tc>
      </w:tr>
    </w:tbl>
    <w:p/>
    <w:tbl>
      <w:tblPr>
        <w:tblW w:type="auto" w:w="0"/>
        <w:tblLook w:firstColumn="1" w:firstRow="1" w:lastColumn="0" w:lastRow="0" w:noHBand="0" w:noVBand="1" w:val="04A0"/>
      </w:tblPr>
      <w:tblGrid>
        <w:gridCol w:w="9066"/>
      </w:tblGrid>
      <w:tr>
        <w:tc>
          <w:tcPr>
            <w:tcW w:type="dxa" w:w="9066"/>
            <w:shd w:val="clear" w:color="auto" w:fill="F3EFEA"/>
            <w:tcBorders>
              <w:top w:val="nil"/>
              <w:bottom w:val="nil"/>
              <w:right w:val="nil"/>
              <w:left w:val="single" w:sz="24" w:color="9A2618"/>
            </w:tcBorders>
            <w:tcMar>
              <w:top w:w="200" w:type="dxa"/>
              <w:bottom w:w="200" w:type="dxa"/>
              <w:left w:w="300" w:type="dxa"/>
              <w:right w:w="300" w:type="dxa"/>
            </w:tcMar>
          </w:tcPr>
          <w:p>
            <w:r/>
            <w:r>
              <w:rPr>
                <w:rFonts w:ascii="Georgia" w:hAnsi="Georgia"/>
                <w:b/>
                <w:color w:val="9A2618"/>
                <w:sz w:val="18"/>
              </w:rPr>
              <w:t>AVISO DE RESPONSABILIDADE</w:t>
            </w:r>
          </w:p>
          <w:p>
            <w:pPr>
              <w:spacing w:line="312" w:lineRule="auto"/>
            </w:pPr>
            <w:r>
              <w:rPr>
                <w:rFonts w:ascii="Georgia" w:hAnsi="Georgia"/>
                <w:color w:val="111111"/>
                <w:sz w:val="20"/>
              </w:rPr>
              <w:t>A elaboração jurídica e a responsabilidade contratual permanecem com o Belisário Maciel Advogados. Os modelos são templates educativos e devem ser personalizados pelo cirurgião-dentista responsável conforme caso clínico, técnica empregada e perfil do paciente. A revisão técnica abrange a adequação dos riscos clínicos e cuidados gerais à literatura e diretrizes da especialidade — não substitui análise individualizada de cada caso pelo profissional responsável.</w:t>
            </w:r>
          </w:p>
        </w:tc>
      </w:tr>
    </w:tbl>
    <w:p>
      <w:pPr>
        <w:spacing w:after="80"/>
      </w:pPr>
    </w:p>
    <w:p>
      <w:pPr>
        <w:spacing w:before="240" w:after="240"/>
        <w:jc w:val="center"/>
      </w:pPr>
      <w:r>
        <w:rPr>
          <w:color w:val="D4AF37"/>
          <w:sz w:val="18"/>
        </w:rPr>
        <w:t>◆ ◆ ◆</w:t>
      </w:r>
    </w:p>
    <w:p>
      <w:pPr>
        <w:jc w:val="center"/>
      </w:pPr>
      <w:r>
        <w:rPr>
          <w:rFonts w:ascii="Georgia" w:hAnsi="Georgia"/>
          <w:b/>
          <w:color w:val="093145"/>
          <w:sz w:val="20"/>
        </w:rPr>
        <w:t>BELISÁRIO MACIEL ADVOGADOS</w:t>
      </w:r>
    </w:p>
    <w:p>
      <w:pPr>
        <w:jc w:val="center"/>
      </w:pPr>
      <w:r>
        <w:rPr>
          <w:rFonts w:ascii="Georgia" w:hAnsi="Georgia"/>
          <w:i/>
          <w:color w:val="5A6470"/>
          <w:sz w:val="17"/>
        </w:rPr>
        <w:t>Direito Médico e Odontológico · São Paulo · belisario.com.br</w:t>
      </w:r>
    </w:p>
    <w:p>
      <w:pPr>
        <w:jc w:val="center"/>
      </w:pPr>
      <w:r>
        <w:rPr>
          <w:rFonts w:ascii="Georgia" w:hAnsi="Georgia"/>
          <w:color w:val="5A6470"/>
          <w:sz w:val="15"/>
        </w:rPr>
        <w:t>Documento versão 1.0 · May de 2026</w:t>
        <w:br/>
        <w:t>Este material é educativo e não substitui consultoria jurídica individualizada.</w:t>
      </w:r>
    </w:p>
    <w:sectPr w:rsidR="00FC693F" w:rsidRPr="0006063C" w:rsidSect="00034616">
      <w:headerReference w:type="default" r:id="rId10"/>
      <w:footerReference w:type="default" r:id="rId11"/>
      <w:pgSz w:w="12240" w:h="15840"/>
      <w:pgMar w:top="1474" w:right="1587" w:bottom="1474" w:left="1587" w:header="680" w:footer="68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  <w:tbl>
    <w:tblPr>
      <w:tblW w:type="auto" w:w="0"/>
      <w:tblLayout w:type="fixed"/>
      <w:tblLook w:firstColumn="1" w:firstRow="1" w:lastColumn="0" w:lastRow="0" w:noHBand="0" w:noVBand="1" w:val="04A0"/>
    </w:tblPr>
    <w:tblGrid>
      <w:gridCol w:w="3402"/>
      <w:gridCol w:w="2268"/>
      <w:gridCol w:w="3402"/>
    </w:tblGrid>
    <w:tr>
      <w:tc>
        <w:tcPr>
          <w:tcW w:type="dxa" w:w="3024"/>
          <w:tcBorders>
            <w:top w:val="nil"/>
            <w:left w:val="nil"/>
            <w:bottom w:val="nil"/>
            <w:right w:val="nil"/>
            <w:insideH w:val="nil"/>
            <w:insideV w:val="nil"/>
          </w:tcBorders>
        </w:tcPr>
        <w:p>
          <w:pPr>
            <w:jc w:val="left"/>
          </w:pPr>
          <w:r>
            <w:rPr>
              <w:rFonts w:ascii="Georgia" w:hAnsi="Georgia"/>
              <w:color w:val="5A6470"/>
              <w:sz w:val="16"/>
            </w:rPr>
            <w:t>Belisário Maciel Advogados</w:t>
          </w:r>
        </w:p>
      </w:tc>
      <w:tc>
        <w:tcPr>
          <w:tcW w:type="dxa" w:w="3024"/>
          <w:tcBorders>
            <w:top w:val="nil"/>
            <w:left w:val="nil"/>
            <w:bottom w:val="nil"/>
            <w:right w:val="nil"/>
            <w:insideH w:val="nil"/>
            <w:insideV w:val="nil"/>
          </w:tcBorders>
        </w:tcPr>
        <w:p>
          <w:pPr>
            <w:jc w:val="center"/>
          </w:pPr>
          <w:r>
            <w:rPr>
              <w:color w:val="D4AF37"/>
              <w:sz w:val="16"/>
            </w:rPr>
            <w:t>◆</w:t>
          </w:r>
        </w:p>
      </w:tc>
      <w:tc>
        <w:tcPr>
          <w:tcW w:type="dxa" w:w="3024"/>
          <w:tcBorders>
            <w:top w:val="nil"/>
            <w:left w:val="nil"/>
            <w:bottom w:val="nil"/>
            <w:right w:val="nil"/>
            <w:insideH w:val="nil"/>
            <w:insideV w:val="nil"/>
          </w:tcBorders>
        </w:tcPr>
        <w:p>
          <w:pPr>
            <w:jc w:val="right"/>
          </w:pPr>
          <w:r>
            <w:rPr>
              <w:rFonts w:ascii="Georgia" w:hAnsi="Georgia"/>
              <w:color w:val="5A6470"/>
              <w:sz w:val="16"/>
            </w:rPr>
            <w:t xml:space="preserve">Página </w:t>
          </w:r>
          <w:r>
            <w:rPr>
              <w:rFonts w:ascii="Georgia" w:hAnsi="Georgia"/>
              <w:color w:val="5A6470"/>
              <w:sz w:val="16"/>
            </w:rPr>
            <w:fldChar w:fldCharType="begin"/>
            <w:instrText xml:space="preserve"> PAGE </w:instrText>
            <w:fldChar w:fldCharType="end"/>
          </w:r>
        </w:p>
      </w:tc>
    </w:tr>
  </w:tbl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tbl>
    <w:tblPr>
      <w:tblW w:type="auto" w:w="0"/>
      <w:tblLayout w:type="fixed"/>
      <w:tblLook w:firstColumn="1" w:firstRow="1" w:lastColumn="0" w:lastRow="0" w:noHBand="0" w:noVBand="1" w:val="04A0"/>
    </w:tblPr>
    <w:tblGrid>
      <w:gridCol w:w="4535"/>
      <w:gridCol w:w="4535"/>
    </w:tblGrid>
    <w:tr>
      <w:tc>
        <w:tcPr>
          <w:tcW w:type="dxa" w:w="4535"/>
          <w:tcBorders>
            <w:top w:val="nil"/>
            <w:left w:val="nil"/>
            <w:bottom w:val="nil"/>
            <w:right w:val="nil"/>
            <w:insideH w:val="nil"/>
            <w:insideV w:val="nil"/>
          </w:tcBorders>
        </w:tcPr>
        <w:p>
          <w:pPr>
            <w:jc w:val="left"/>
          </w:pPr>
          <w:r>
            <w:drawing>
              <wp:inline xmlns:a="http://schemas.openxmlformats.org/drawingml/2006/main" xmlns:pic="http://schemas.openxmlformats.org/drawingml/2006/picture">
                <wp:extent cx="1152000" cy="174960"/>
                <wp:docPr id="1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logo-belisario-principal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52000" cy="174960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535"/>
          <w:tcBorders>
            <w:top w:val="nil"/>
            <w:left w:val="nil"/>
            <w:bottom w:val="nil"/>
            <w:right w:val="nil"/>
            <w:insideH w:val="nil"/>
            <w:insideV w:val="nil"/>
          </w:tcBorders>
        </w:tcPr>
        <w:p>
          <w:pPr>
            <w:jc w:val="right"/>
          </w:pPr>
          <w:r>
            <w:rPr>
              <w:rFonts w:ascii="Georgia" w:hAnsi="Georgia"/>
              <w:i/>
              <w:color w:val="5A6470"/>
              <w:sz w:val="16"/>
            </w:rPr>
            <w:t>TCLE Ortodontia</w:t>
          </w:r>
        </w:p>
      </w:tc>
    </w:tr>
  </w:tbl>
  <w:p>
    <w:pPr>
      <w:pBdr>
        <w:bottom w:val="single" w:sz="4" w:space="4" w:color="D4AF37"/>
      </w:pBd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Georgia" w:hAnsi="Georgia"/>
      <w:color w:val="111111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eader" Target="header1.xml"/><Relationship Id="rId11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