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left"/>
        <w:tblLayout w:type="fixed"/>
        <w:tblLook w:firstColumn="1" w:firstRow="1" w:lastColumn="0" w:lastRow="0" w:noHBand="0" w:noVBand="1" w:val="04A0"/>
      </w:tblPr>
      <w:tblGrid>
        <w:gridCol w:w="12240"/>
      </w:tblGrid>
      <w:tr>
        <w:trPr>
          <w:trHeight w:val="16839" w:hRule="atLeast"/>
        </w:trPr>
        <w:tc>
          <w:tcPr>
            <w:tcW w:type="dxa" w:w="12240"/>
            <w:shd w:val="clear" w:color="auto" w:fill="093145"/>
            <w:tcBorders>
              <w:top w:val="nil"/>
              <w:left w:val="nil"/>
              <w:bottom w:val="nil"/>
              <w:right w:val="nil"/>
              <w:insideH w:val="nil"/>
              <w:insideV w:val="nil"/>
            </w:tcBorders>
            <w:tcMar>
              <w:top w:w="2400" w:type="dxa"/>
              <w:bottom w:w="900" w:type="dxa"/>
              <w:left w:w="900" w:type="dxa"/>
              <w:right w:w="900" w:type="dxa"/>
            </w:tcMar>
            <w:vAlign w:val="top"/>
          </w:tcPr>
          <w:p>
            <w:pPr>
              <w:jc w:val="center"/>
            </w:pPr>
            <w:r>
              <w:drawing>
                <wp:inline xmlns:a="http://schemas.openxmlformats.org/drawingml/2006/main" xmlns:pic="http://schemas.openxmlformats.org/drawingml/2006/picture">
                  <wp:extent cx="1980000" cy="300712"/>
                  <wp:docPr id="1" name="Picture 1"/>
                  <wp:cNvGraphicFramePr>
                    <a:graphicFrameLocks noChangeAspect="1"/>
                  </wp:cNvGraphicFramePr>
                  <a:graphic>
                    <a:graphicData uri="http://schemas.openxmlformats.org/drawingml/2006/picture">
                      <pic:pic>
                        <pic:nvPicPr>
                          <pic:cNvPr id="0" name="logo-belisario-principal.png"/>
                          <pic:cNvPicPr/>
                        </pic:nvPicPr>
                        <pic:blipFill>
                          <a:blip r:embed="rId9"/>
                          <a:stretch>
                            <a:fillRect/>
                          </a:stretch>
                        </pic:blipFill>
                        <pic:spPr>
                          <a:xfrm>
                            <a:off x="0" y="0"/>
                            <a:ext cx="1980000" cy="300712"/>
                          </a:xfrm>
                          <a:prstGeom prst="rect"/>
                        </pic:spPr>
                      </pic:pic>
                    </a:graphicData>
                  </a:graphic>
                </wp:inline>
              </w:drawing>
            </w:r>
          </w:p>
          <w:p>
            <w:r>
              <w:rPr>
                <w:sz w:val="60"/>
              </w:rPr>
            </w:r>
          </w:p>
          <w:p>
            <w:pPr>
              <w:spacing w:after="280"/>
              <w:jc w:val="center"/>
            </w:pPr>
            <w:r>
              <w:rPr>
                <w:rFonts w:ascii="Georgia" w:hAnsi="Georgia"/>
                <w:b/>
                <w:color w:val="C8D4DC"/>
                <w:sz w:val="18"/>
              </w:rPr>
              <w:t>BANCO DE TCLE ODONTOLÓGICO · CTBMF</w:t>
            </w:r>
          </w:p>
          <w:p>
            <w:pPr>
              <w:spacing w:after="200" w:line="276" w:lineRule="auto"/>
              <w:jc w:val="center"/>
            </w:pPr>
            <w:r>
              <w:rPr>
                <w:rFonts w:ascii="Garamond" w:hAnsi="Garamond"/>
                <w:color w:val="FFFFFF"/>
                <w:sz w:val="48"/>
              </w:rPr>
              <w:t>TCLE</w:t>
              <w:br/>
              <w:t>Cirurgia Bucomaxilofacial</w:t>
            </w:r>
          </w:p>
          <w:p>
            <w:pPr>
              <w:spacing w:after="400"/>
              <w:jc w:val="center"/>
            </w:pPr>
            <w:r>
              <w:rPr>
                <w:rFonts w:ascii="Garamond" w:hAnsi="Garamond"/>
                <w:i/>
                <w:color w:val="C8D4DC"/>
                <w:sz w:val="24"/>
              </w:rPr>
              <w:t>Termo de Consentimento Livre e Esclarecido — Modelo Editável</w:t>
            </w:r>
          </w:p>
          <w:p>
            <w:pPr>
              <w:jc w:val="center"/>
            </w:pPr>
            <w:r>
              <w:rPr>
                <w:color w:val="D4AF37"/>
                <w:sz w:val="18"/>
              </w:rPr>
              <w:t>◆ ◆ ◆</w:t>
            </w:r>
          </w:p>
          <w:p>
            <w:r>
              <w:rPr>
                <w:sz w:val="160"/>
              </w:rPr>
            </w:r>
          </w:p>
          <w:p>
            <w:pPr>
              <w:spacing w:after="40"/>
              <w:jc w:val="center"/>
            </w:pPr>
            <w:r>
              <w:rPr>
                <w:rFonts w:ascii="Georgia" w:hAnsi="Georgia"/>
                <w:b/>
                <w:color w:val="FFFFFF"/>
                <w:sz w:val="18"/>
              </w:rPr>
              <w:t>BELISÁRIO MACIEL ADVOGADOS</w:t>
            </w:r>
          </w:p>
          <w:p>
            <w:pPr>
              <w:jc w:val="center"/>
            </w:pPr>
            <w:r>
              <w:rPr>
                <w:rFonts w:ascii="Georgia" w:hAnsi="Georgia"/>
                <w:i/>
                <w:color w:val="C8D4DC"/>
                <w:sz w:val="16"/>
              </w:rPr>
              <w:t>belisario.com.br · São Paulo</w:t>
            </w:r>
          </w:p>
        </w:tc>
      </w:tr>
    </w:tbl>
    <w:p>
      <w:pPr>
        <w:sectPr>
          <w:pgSz w:w="12240" w:h="15840"/>
          <w:pgMar w:top="0" w:right="0" w:bottom="0" w:left="0" w:header="0" w:footer="0" w:gutter="0"/>
          <w:cols w:space="720"/>
          <w:docGrid w:linePitch="360"/>
        </w:sectPr>
      </w:pPr>
    </w:p>
    <w:p>
      <w:pPr>
        <w:spacing w:after="0"/>
      </w:pPr>
    </w:p>
    <w:p>
      <w:pPr>
        <w:spacing w:before="240" w:after="160"/>
        <w:pBdr>
          <w:bottom w:val="single" w:sz="4" w:space="4" w:color="D4AF37"/>
        </w:pBdr>
      </w:pPr>
      <w:r>
        <w:rPr>
          <w:rFonts w:ascii="Garamond" w:hAnsi="Garamond"/>
          <w:color w:val="093145"/>
          <w:sz w:val="36"/>
        </w:rPr>
        <w:t>Como usar este modelo</w:t>
      </w:r>
    </w:p>
    <w:p>
      <w:pPr>
        <w:spacing w:lineRule="auto" w:line="324" w:after="120"/>
        <w:jc w:val="both"/>
      </w:pPr>
      <w:r>
        <w:rPr>
          <w:rFonts w:ascii="Georgia" w:hAnsi="Georgia"/>
          <w:i w:val="0"/>
          <w:sz w:val="21"/>
        </w:rPr>
        <w:t>Este modelo é um TEMPLATE EDITÁVEL para procedimentos de Cirurgia e Traumatologia Bucomaxilofacial (CTBMF). Reúne as nove seções defensivas exigidas pela Resolução CFO 118/2012. É obrigação do cirurgião-dentista responsável personalizar cada item conforme caso clínico específico (tipo de cirurgia, complexidade, anestesia, risco de lesão neural, ASA do paciente).</w:t>
      </w:r>
    </w:p>
    <w:tbl>
      <w:tblPr>
        <w:tblW w:type="auto" w:w="0"/>
        <w:tblLook w:firstColumn="1" w:firstRow="1" w:lastColumn="0" w:lastRow="0" w:noHBand="0" w:noVBand="1" w:val="04A0"/>
      </w:tblPr>
      <w:tblGrid>
        <w:gridCol w:w="9066"/>
      </w:tblGrid>
      <w:tr>
        <w:tc>
          <w:tcPr>
            <w:tcW w:type="dxa" w:w="9066"/>
            <w:shd w:val="clear" w:color="auto" w:fill="F3EFEA"/>
            <w:tcBorders>
              <w:top w:val="nil"/>
              <w:bottom w:val="nil"/>
              <w:right w:val="nil"/>
              <w:left w:val="single" w:sz="24" w:color="9A2618"/>
            </w:tcBorders>
            <w:tcMar>
              <w:top w:w="200" w:type="dxa"/>
              <w:bottom w:w="200" w:type="dxa"/>
              <w:left w:w="300" w:type="dxa"/>
              <w:right w:w="300" w:type="dxa"/>
            </w:tcMar>
          </w:tcPr>
          <w:p>
            <w:r/>
            <w:r>
              <w:rPr>
                <w:rFonts w:ascii="Georgia" w:hAnsi="Georgia"/>
                <w:b/>
                <w:color w:val="9A2618"/>
                <w:sz w:val="18"/>
              </w:rPr>
              <w:t>PERSONALIZAÇÃO OBRIGATÓRIA</w:t>
            </w:r>
          </w:p>
          <w:p>
            <w:pPr>
              <w:spacing w:line="312" w:lineRule="auto"/>
            </w:pPr>
            <w:r>
              <w:rPr>
                <w:rFonts w:ascii="Georgia" w:hAnsi="Georgia"/>
                <w:color w:val="111111"/>
                <w:sz w:val="20"/>
              </w:rPr>
              <w:t>Os campos com [colchetes] devem ser preenchidos. CTBMF abrange procedimentos de complexidade muito variável: terceiros molares retidos, biópsias, cirurgias ortognáticas, enxertos ósseos, cirurgias de seio maxilar, traumas, lesões patológicas. A redação final DEVE detalhar a cirurgia específica, riscos anatômicos identificados em imagem, ASA do paciente, tipo de anestesia (local, sedação, geral) e protocolo de recuperação.</w:t>
            </w:r>
          </w:p>
        </w:tc>
      </w:tr>
    </w:tbl>
    <w:p>
      <w:pPr>
        <w:spacing w:after="80"/>
      </w:pPr>
    </w:p>
    <w:p>
      <w:pPr>
        <w:spacing w:before="240" w:after="240"/>
        <w:jc w:val="center"/>
      </w:pPr>
      <w:r>
        <w:rPr>
          <w:color w:val="D4AF37"/>
          <w:sz w:val="18"/>
        </w:rPr>
        <w:t>◆ ◆ ◆</w:t>
      </w:r>
    </w:p>
    <w:p>
      <w:pPr>
        <w:spacing w:after="0"/>
      </w:pPr>
    </w:p>
    <w:p>
      <w:pPr>
        <w:spacing w:before="240" w:after="160"/>
        <w:pBdr>
          <w:bottom w:val="single" w:sz="4" w:space="4" w:color="D4AF37"/>
        </w:pBdr>
      </w:pPr>
      <w:r>
        <w:rPr>
          <w:rFonts w:ascii="Garamond" w:hAnsi="Garamond"/>
          <w:color w:val="093145"/>
          <w:sz w:val="36"/>
        </w:rPr>
        <w:t>Termo de Consentimento Livre e Esclarecido — Cirurgia Bucomaxilofacial</w:t>
      </w:r>
    </w:p>
    <w:p>
      <w:pPr>
        <w:keepNext/>
        <w:spacing w:before="280" w:after="80"/>
      </w:pPr>
      <w:r>
        <w:rPr>
          <w:rFonts w:ascii="Garamond" w:hAnsi="Garamond"/>
          <w:b/>
          <w:color w:val="093145"/>
          <w:sz w:val="28"/>
        </w:rPr>
        <w:t>1. Identificação</w:t>
      </w:r>
    </w:p>
    <w:p>
      <w:pPr>
        <w:spacing w:lineRule="auto" w:line="324" w:after="120"/>
        <w:jc w:val="both"/>
      </w:pPr>
      <w:r>
        <w:rPr>
          <w:rFonts w:ascii="Georgia" w:hAnsi="Georgia"/>
          <w:i w:val="0"/>
          <w:sz w:val="21"/>
        </w:rPr>
        <w:t>Paciente: [nome completo, CPF, RG, data de nascimento, endereço, telefone]</w:t>
      </w:r>
    </w:p>
    <w:p>
      <w:pPr>
        <w:spacing w:lineRule="auto" w:line="324" w:after="120"/>
        <w:jc w:val="both"/>
      </w:pPr>
      <w:r>
        <w:rPr>
          <w:rFonts w:ascii="Georgia" w:hAnsi="Georgia"/>
          <w:i w:val="0"/>
          <w:sz w:val="21"/>
        </w:rPr>
        <w:t>Responsável legal (quando aplicável): [nome completo, CPF, parentesco]</w:t>
      </w:r>
    </w:p>
    <w:p>
      <w:pPr>
        <w:spacing w:lineRule="auto" w:line="324" w:after="120"/>
        <w:jc w:val="both"/>
      </w:pPr>
      <w:r>
        <w:rPr>
          <w:rFonts w:ascii="Georgia" w:hAnsi="Georgia"/>
          <w:i w:val="0"/>
          <w:sz w:val="21"/>
        </w:rPr>
        <w:t>Profissional responsável: [nome completo, CRO/UF, especialidade em CTBMF se houver]</w:t>
      </w:r>
    </w:p>
    <w:p>
      <w:pPr>
        <w:spacing w:lineRule="auto" w:line="324" w:after="120"/>
        <w:jc w:val="both"/>
      </w:pPr>
      <w:r>
        <w:rPr>
          <w:rFonts w:ascii="Georgia" w:hAnsi="Georgia"/>
          <w:i w:val="0"/>
          <w:sz w:val="21"/>
        </w:rPr>
        <w:t>Local: [hospital/clínica com habilitação para o porte do procedimento] · Data: ___/___/_______</w:t>
      </w:r>
    </w:p>
    <w:p>
      <w:pPr>
        <w:keepNext/>
        <w:spacing w:before="280" w:after="80"/>
      </w:pPr>
      <w:r>
        <w:rPr>
          <w:rFonts w:ascii="Garamond" w:hAnsi="Garamond"/>
          <w:b/>
          <w:color w:val="093145"/>
          <w:sz w:val="28"/>
        </w:rPr>
        <w:t>2. Descrição técnica do procedimento</w:t>
      </w:r>
    </w:p>
    <w:p>
      <w:pPr>
        <w:spacing w:lineRule="auto" w:line="324" w:after="120"/>
        <w:jc w:val="both"/>
      </w:pPr>
      <w:r>
        <w:rPr>
          <w:rFonts w:ascii="Georgia" w:hAnsi="Georgia"/>
          <w:i w:val="0"/>
          <w:sz w:val="21"/>
        </w:rPr>
        <w:t>Será realizada [descrição da cirurgia — ex: exodontia de terceiros molares retidos 38 e 48 / biópsia incisional de lesão em mucosa jugal direita / enxerto ósseo em bloco em região anteroinferior / cirurgia ortognática (osteotomia maxilar Le Fort I + osteotomia mandibular)].</w:t>
      </w:r>
    </w:p>
    <w:p>
      <w:pPr>
        <w:spacing w:lineRule="auto" w:line="324" w:after="120"/>
        <w:jc w:val="both"/>
      </w:pPr>
      <w:r>
        <w:rPr>
          <w:rFonts w:ascii="Georgia" w:hAnsi="Georgia"/>
          <w:i w:val="0"/>
          <w:sz w:val="21"/>
        </w:rPr>
        <w:t>Anestesia: [local / sedação consciente / anestesia geral, com justificativa].</w:t>
      </w:r>
    </w:p>
    <w:p>
      <w:pPr>
        <w:spacing w:lineRule="auto" w:line="324" w:after="120"/>
        <w:jc w:val="both"/>
      </w:pPr>
      <w:r>
        <w:rPr>
          <w:rFonts w:ascii="Georgia" w:hAnsi="Georgia"/>
          <w:i w:val="0"/>
          <w:sz w:val="21"/>
        </w:rPr>
        <w:t>Tempo estimado: [duração]. Equipe: [composição]. Local: [consultório / centro cirúrgico hospitalar].</w:t>
      </w:r>
    </w:p>
    <w:p>
      <w:pPr>
        <w:spacing w:lineRule="auto" w:line="324" w:after="120"/>
        <w:jc w:val="both"/>
      </w:pPr>
      <w:r>
        <w:rPr>
          <w:rFonts w:ascii="Georgia" w:hAnsi="Georgia"/>
          <w:i w:val="0"/>
          <w:sz w:val="21"/>
        </w:rPr>
        <w:t>Materiais: [lotes, dispositivos cirúrgicos quando aplicável — placas, parafusos, fios].</w:t>
      </w:r>
    </w:p>
    <w:p>
      <w:pPr>
        <w:keepNext/>
        <w:spacing w:before="280" w:after="80"/>
      </w:pPr>
      <w:r>
        <w:rPr>
          <w:rFonts w:ascii="Garamond" w:hAnsi="Garamond"/>
          <w:b/>
          <w:color w:val="093145"/>
          <w:sz w:val="28"/>
        </w:rPr>
        <w:t>3. Indicação clínica específica</w:t>
      </w:r>
    </w:p>
    <w:p>
      <w:pPr>
        <w:spacing w:lineRule="auto" w:line="324" w:after="120"/>
        <w:jc w:val="both"/>
      </w:pPr>
      <w:r>
        <w:rPr>
          <w:rFonts w:ascii="Georgia" w:hAnsi="Georgia"/>
          <w:i w:val="0"/>
          <w:sz w:val="21"/>
        </w:rPr>
        <w:t>A indicação cirúrgica baseia-se em: [diagnóstico clínico específico]. Exames complementares: [radiografia panorâmica, tomografia cone beam, exames laboratoriais, avaliação cardiológica/anestésica quando aplicável].</w:t>
      </w:r>
    </w:p>
    <w:p>
      <w:pPr>
        <w:keepNext/>
        <w:spacing w:before="280" w:after="80"/>
      </w:pPr>
      <w:r>
        <w:rPr>
          <w:rFonts w:ascii="Garamond" w:hAnsi="Garamond"/>
          <w:b/>
          <w:color w:val="093145"/>
          <w:sz w:val="28"/>
        </w:rPr>
        <w:t>4. Alternativas terapêuticas avaliadas</w:t>
      </w:r>
    </w:p>
    <w:p>
      <w:pPr>
        <w:spacing w:lineRule="auto" w:line="324" w:after="120"/>
        <w:jc w:val="both"/>
      </w:pPr>
      <w:r>
        <w:rPr>
          <w:rFonts w:ascii="Georgia" w:hAnsi="Georgia"/>
          <w:i w:val="0"/>
          <w:sz w:val="21"/>
        </w:rPr>
        <w:t>Foram apresentadas e discutidas com o paciente as seguintes alternativas:</w:t>
      </w:r>
    </w:p>
    <w:p>
      <w:pPr>
        <w:pStyle w:val="ListBullet"/>
        <w:spacing w:line="312" w:lineRule="auto" w:after="40"/>
      </w:pPr>
      <w:r>
        <w:rPr>
          <w:rFonts w:ascii="Georgia" w:hAnsi="Georgia"/>
          <w:sz w:val="21"/>
        </w:rPr>
        <w:t>[Acompanhamento clínico-radiográfico sem cirurgia — com riscos específicos de evolução]</w:t>
      </w:r>
    </w:p>
    <w:p>
      <w:pPr>
        <w:pStyle w:val="ListBullet"/>
        <w:spacing w:line="312" w:lineRule="auto" w:after="40"/>
      </w:pPr>
      <w:r>
        <w:rPr>
          <w:rFonts w:ascii="Georgia" w:hAnsi="Georgia"/>
          <w:sz w:val="21"/>
        </w:rPr>
        <w:t>[Tratamento conservador alternativo — com vantagens e limitações]</w:t>
      </w:r>
    </w:p>
    <w:p>
      <w:pPr>
        <w:pStyle w:val="ListBullet"/>
        <w:spacing w:line="312" w:lineRule="auto" w:after="40"/>
      </w:pPr>
      <w:r>
        <w:rPr>
          <w:rFonts w:ascii="Georgia" w:hAnsi="Georgia"/>
          <w:sz w:val="21"/>
        </w:rPr>
        <w:t>[Encaminhamento a especialista para reavaliação]</w:t>
      </w:r>
    </w:p>
    <w:p>
      <w:pPr>
        <w:pStyle w:val="ListBullet"/>
        <w:spacing w:line="312" w:lineRule="auto" w:after="40"/>
      </w:pPr>
      <w:r>
        <w:rPr>
          <w:rFonts w:ascii="Georgia" w:hAnsi="Georgia"/>
          <w:sz w:val="21"/>
        </w:rPr>
        <w:t>[Não tratamento — implicações funcionais, estéticas e de saúde]</w:t>
      </w:r>
    </w:p>
    <w:p>
      <w:pPr>
        <w:keepNext/>
        <w:spacing w:before="280" w:after="80"/>
      </w:pPr>
      <w:r>
        <w:rPr>
          <w:rFonts w:ascii="Garamond" w:hAnsi="Garamond"/>
          <w:b/>
          <w:color w:val="093145"/>
          <w:sz w:val="28"/>
        </w:rPr>
        <w:t>5. Riscos típicos e atípicos</w:t>
      </w:r>
    </w:p>
    <w:p>
      <w:pPr>
        <w:spacing w:lineRule="auto" w:line="324" w:after="120"/>
        <w:jc w:val="both"/>
      </w:pPr>
      <w:r>
        <w:rPr>
          <w:rFonts w:ascii="Georgia" w:hAnsi="Georgia"/>
          <w:i w:val="0"/>
          <w:sz w:val="21"/>
        </w:rPr>
        <w:t>Cirurgias bucomaxilofaciais envolvem riscos cirúrgicos significativos. Os principais incluem:</w:t>
      </w:r>
    </w:p>
    <w:p>
      <w:pPr>
        <w:keepNext/>
        <w:spacing w:before="200" w:after="40"/>
      </w:pPr>
      <w:r>
        <w:rPr>
          <w:rFonts w:ascii="Georgia" w:hAnsi="Georgia"/>
          <w:b/>
          <w:color w:val="9A2618"/>
          <w:sz w:val="21"/>
        </w:rPr>
        <w:t>Riscos típicos (mais frequentes)</w:t>
      </w:r>
    </w:p>
    <w:p>
      <w:pPr>
        <w:pStyle w:val="ListBullet"/>
        <w:spacing w:line="312" w:lineRule="auto" w:after="40"/>
      </w:pPr>
      <w:r>
        <w:rPr>
          <w:rFonts w:ascii="Georgia" w:hAnsi="Georgia"/>
          <w:sz w:val="21"/>
        </w:rPr>
        <w:t>Edema acentuado da face nos primeiros 3 a 7 dias, atingindo pico em 48-72h</w:t>
      </w:r>
    </w:p>
    <w:p>
      <w:pPr>
        <w:pStyle w:val="ListBullet"/>
        <w:spacing w:line="312" w:lineRule="auto" w:after="40"/>
      </w:pPr>
      <w:r>
        <w:rPr>
          <w:rFonts w:ascii="Georgia" w:hAnsi="Georgia"/>
          <w:sz w:val="21"/>
        </w:rPr>
        <w:t>Dor moderada a intensa nos primeiros dias, controlada com analgésicos prescritos</w:t>
      </w:r>
    </w:p>
    <w:p>
      <w:pPr>
        <w:pStyle w:val="ListBullet"/>
        <w:spacing w:line="312" w:lineRule="auto" w:after="40"/>
      </w:pPr>
      <w:r>
        <w:rPr>
          <w:rFonts w:ascii="Georgia" w:hAnsi="Georgia"/>
          <w:sz w:val="21"/>
        </w:rPr>
        <w:t>Hematoma extenso podendo se estender para pescoço/torço, com resolução espontânea em 7-14 dias</w:t>
      </w:r>
    </w:p>
    <w:p>
      <w:pPr>
        <w:pStyle w:val="ListBullet"/>
        <w:spacing w:line="312" w:lineRule="auto" w:after="40"/>
      </w:pPr>
      <w:r>
        <w:rPr>
          <w:rFonts w:ascii="Georgia" w:hAnsi="Georgia"/>
          <w:sz w:val="21"/>
        </w:rPr>
        <w:t>Limitação temporária de abertura bucal (trismo) por 1 a 2 semanas</w:t>
      </w:r>
    </w:p>
    <w:p>
      <w:pPr>
        <w:pStyle w:val="ListBullet"/>
        <w:spacing w:line="312" w:lineRule="auto" w:after="40"/>
      </w:pPr>
      <w:r>
        <w:rPr>
          <w:rFonts w:ascii="Georgia" w:hAnsi="Georgia"/>
          <w:sz w:val="21"/>
        </w:rPr>
        <w:t>Sangramento leve nas primeiras horas</w:t>
      </w:r>
    </w:p>
    <w:p>
      <w:pPr>
        <w:pStyle w:val="ListBullet"/>
        <w:spacing w:line="312" w:lineRule="auto" w:after="40"/>
      </w:pPr>
      <w:r>
        <w:rPr>
          <w:rFonts w:ascii="Georgia" w:hAnsi="Georgia"/>
          <w:sz w:val="21"/>
        </w:rPr>
        <w:t>Limitação alimentar temporária com necessidade de dieta líquida/pastosa</w:t>
      </w:r>
    </w:p>
    <w:p>
      <w:pPr>
        <w:keepNext/>
        <w:spacing w:before="200" w:after="40"/>
      </w:pPr>
      <w:r>
        <w:rPr>
          <w:rFonts w:ascii="Georgia" w:hAnsi="Georgia"/>
          <w:b/>
          <w:color w:val="9A2618"/>
          <w:sz w:val="21"/>
        </w:rPr>
        <w:t>Riscos atípicos (menos frequentes, relevantes)</w:t>
      </w:r>
    </w:p>
    <w:p>
      <w:pPr>
        <w:pStyle w:val="ListBullet"/>
        <w:spacing w:line="312" w:lineRule="auto" w:after="40"/>
      </w:pPr>
      <w:r>
        <w:rPr>
          <w:rFonts w:ascii="Georgia" w:hAnsi="Georgia"/>
          <w:sz w:val="21"/>
        </w:rPr>
        <w:t>Parestesia (dormência) do nervo alveolar inferior — relevante em extração de terceiros molares inferiores e cirurgias mandibulares; pode ser temporária (semanas a meses) ou, raramente, permanente</w:t>
      </w:r>
    </w:p>
    <w:p>
      <w:pPr>
        <w:pStyle w:val="ListBullet"/>
        <w:spacing w:line="312" w:lineRule="auto" w:after="40"/>
      </w:pPr>
      <w:r>
        <w:rPr>
          <w:rFonts w:ascii="Georgia" w:hAnsi="Georgia"/>
          <w:sz w:val="21"/>
        </w:rPr>
        <w:t>Parestesia do nervo lingual — sensibilidade gustativa e da hemilíngua</w:t>
      </w:r>
    </w:p>
    <w:p>
      <w:pPr>
        <w:pStyle w:val="ListBullet"/>
        <w:spacing w:line="312" w:lineRule="auto" w:after="40"/>
      </w:pPr>
      <w:r>
        <w:rPr>
          <w:rFonts w:ascii="Georgia" w:hAnsi="Georgia"/>
          <w:sz w:val="21"/>
        </w:rPr>
        <w:t>Parestesia do nervo infraorbitário em cirurgias maxilares</w:t>
      </w:r>
    </w:p>
    <w:p>
      <w:pPr>
        <w:pStyle w:val="ListBullet"/>
        <w:spacing w:line="312" w:lineRule="auto" w:after="40"/>
      </w:pPr>
      <w:r>
        <w:rPr>
          <w:rFonts w:ascii="Georgia" w:hAnsi="Georgia"/>
          <w:sz w:val="21"/>
        </w:rPr>
        <w:t>Comunicação buco-sinusal em cirurgias da maxila posterior — pode requerer fechamento cirúrgico adicional</w:t>
      </w:r>
    </w:p>
    <w:p>
      <w:pPr>
        <w:pStyle w:val="ListBullet"/>
        <w:spacing w:line="312" w:lineRule="auto" w:after="40"/>
      </w:pPr>
      <w:r>
        <w:rPr>
          <w:rFonts w:ascii="Georgia" w:hAnsi="Georgia"/>
          <w:sz w:val="21"/>
        </w:rPr>
        <w:t>Sinusite maxilar pós-operatória</w:t>
      </w:r>
    </w:p>
    <w:p>
      <w:pPr>
        <w:pStyle w:val="ListBullet"/>
        <w:spacing w:line="312" w:lineRule="auto" w:after="40"/>
      </w:pPr>
      <w:r>
        <w:rPr>
          <w:rFonts w:ascii="Georgia" w:hAnsi="Georgia"/>
          <w:sz w:val="21"/>
        </w:rPr>
        <w:t>Fratura mandibular durante ou após cirurgia, em casos com osso fragilizado</w:t>
      </w:r>
    </w:p>
    <w:p>
      <w:pPr>
        <w:pStyle w:val="ListBullet"/>
        <w:spacing w:line="312" w:lineRule="auto" w:after="40"/>
      </w:pPr>
      <w:r>
        <w:rPr>
          <w:rFonts w:ascii="Georgia" w:hAnsi="Georgia"/>
          <w:sz w:val="21"/>
        </w:rPr>
        <w:t>Infecção pós-operatória, requerendo antibioticoterapia ou drenagem</w:t>
      </w:r>
    </w:p>
    <w:p>
      <w:pPr>
        <w:pStyle w:val="ListBullet"/>
        <w:spacing w:line="312" w:lineRule="auto" w:after="40"/>
      </w:pPr>
      <w:r>
        <w:rPr>
          <w:rFonts w:ascii="Georgia" w:hAnsi="Georgia"/>
          <w:sz w:val="21"/>
        </w:rPr>
        <w:t>Deiscência dos tecidos moles, exposição óssea ou de material de fixação</w:t>
      </w:r>
    </w:p>
    <w:p>
      <w:pPr>
        <w:pStyle w:val="ListBullet"/>
        <w:spacing w:line="312" w:lineRule="auto" w:after="40"/>
      </w:pPr>
      <w:r>
        <w:rPr>
          <w:rFonts w:ascii="Georgia" w:hAnsi="Georgia"/>
          <w:sz w:val="21"/>
        </w:rPr>
        <w:t>Reação adversa a anestésicos, sedativos ou medicamentos prescritos</w:t>
      </w:r>
    </w:p>
    <w:p>
      <w:pPr>
        <w:pStyle w:val="ListBullet"/>
        <w:spacing w:line="312" w:lineRule="auto" w:after="40"/>
      </w:pPr>
      <w:r>
        <w:rPr>
          <w:rFonts w:ascii="Georgia" w:hAnsi="Georgia"/>
          <w:sz w:val="21"/>
        </w:rPr>
        <w:t>Em cirurgias com anestesia geral: complicações anestésicas (broncoespasmo, hipertermia maligna, depressão respiratória), exigindo internação prolongada em casos raros</w:t>
      </w:r>
    </w:p>
    <w:p>
      <w:pPr>
        <w:pStyle w:val="ListBullet"/>
        <w:spacing w:line="312" w:lineRule="auto" w:after="40"/>
      </w:pPr>
      <w:r>
        <w:rPr>
          <w:rFonts w:ascii="Georgia" w:hAnsi="Georgia"/>
          <w:sz w:val="21"/>
        </w:rPr>
        <w:t>Necessidade de reabordagem cirúrgica em caso de complicação não recuperável conservadoramente</w:t>
      </w:r>
    </w:p>
    <w:p>
      <w:pPr>
        <w:pStyle w:val="ListBullet"/>
        <w:spacing w:line="312" w:lineRule="auto" w:after="40"/>
      </w:pPr>
      <w:r>
        <w:rPr>
          <w:rFonts w:ascii="Georgia" w:hAnsi="Georgia"/>
          <w:sz w:val="21"/>
        </w:rPr>
        <w:t>Resultado estético/funcional diferente do planejado em cirurgias ortognáticas (recidiva esquelética parcial, assimetrias residuais)</w:t>
      </w:r>
    </w:p>
    <w:tbl>
      <w:tblPr>
        <w:tblW w:type="auto" w:w="0"/>
        <w:tblLook w:firstColumn="1" w:firstRow="1" w:lastColumn="0" w:lastRow="0" w:noHBand="0" w:noVBand="1" w:val="04A0"/>
      </w:tblPr>
      <w:tblGrid>
        <w:gridCol w:w="9066"/>
      </w:tblGrid>
      <w:tr>
        <w:tc>
          <w:tcPr>
            <w:tcW w:type="dxa" w:w="9066"/>
            <w:shd w:val="clear" w:color="auto" w:fill="F3EFEA"/>
            <w:tcBorders>
              <w:top w:val="nil"/>
              <w:bottom w:val="nil"/>
              <w:right w:val="nil"/>
              <w:left w:val="single" w:sz="24" w:color="9A2618"/>
            </w:tcBorders>
            <w:tcMar>
              <w:top w:w="200" w:type="dxa"/>
              <w:bottom w:w="200" w:type="dxa"/>
              <w:left w:w="300" w:type="dxa"/>
              <w:right w:w="300" w:type="dxa"/>
            </w:tcMar>
          </w:tcPr>
          <w:p>
            <w:r/>
            <w:r>
              <w:rPr>
                <w:rFonts w:ascii="Georgia" w:hAnsi="Georgia"/>
                <w:b/>
                <w:color w:val="9A2618"/>
                <w:sz w:val="18"/>
              </w:rPr>
              <w:t>PERSONALIZAR CONFORME O CASO</w:t>
            </w:r>
          </w:p>
          <w:p>
            <w:pPr>
              <w:spacing w:line="312" w:lineRule="auto"/>
            </w:pPr>
            <w:r>
              <w:rPr>
                <w:rFonts w:ascii="Georgia" w:hAnsi="Georgia"/>
                <w:color w:val="111111"/>
                <w:sz w:val="20"/>
              </w:rPr>
              <w:t>Os riscos acima são gerais. A redação final DEVE incluir riscos específicos identificados na tomografia (proximidade de raízes ao nervo alveolar inferior, espessura óssea limítrofe, presença de patologia óssea, comunicação com seio maxilar), no perfil do paciente (ASA, diabetes, cardiopatia, uso de anticoagulantes, bisfosfonatos), e na complexidade da cirurgia (emergência vs eletiva, primeira ou segunda intervenção).</w:t>
            </w:r>
          </w:p>
        </w:tc>
      </w:tr>
    </w:tbl>
    <w:p>
      <w:pPr>
        <w:spacing w:after="80"/>
      </w:pPr>
    </w:p>
    <w:p>
      <w:pPr>
        <w:keepNext/>
        <w:spacing w:before="280" w:after="80"/>
      </w:pPr>
      <w:r>
        <w:rPr>
          <w:rFonts w:ascii="Garamond" w:hAnsi="Garamond"/>
          <w:b/>
          <w:color w:val="093145"/>
          <w:sz w:val="28"/>
        </w:rPr>
        <w:t>6. Cuidados pré-operatórios</w:t>
      </w:r>
    </w:p>
    <w:p>
      <w:pPr>
        <w:pStyle w:val="ListBullet"/>
        <w:spacing w:line="312" w:lineRule="auto" w:after="40"/>
      </w:pPr>
      <w:r>
        <w:rPr>
          <w:rFonts w:ascii="Georgia" w:hAnsi="Georgia"/>
          <w:sz w:val="21"/>
        </w:rPr>
        <w:t>Avaliação pré-anestésica completa em casos com sedação ou anestesia geral</w:t>
      </w:r>
    </w:p>
    <w:p>
      <w:pPr>
        <w:pStyle w:val="ListBullet"/>
        <w:spacing w:line="312" w:lineRule="auto" w:after="40"/>
      </w:pPr>
      <w:r>
        <w:rPr>
          <w:rFonts w:ascii="Georgia" w:hAnsi="Georgia"/>
          <w:sz w:val="21"/>
        </w:rPr>
        <w:t>Jejum [conforme protocolo anestésico — geralmente 8h sólidos, 4h líquidos claros]</w:t>
      </w:r>
    </w:p>
    <w:p>
      <w:pPr>
        <w:pStyle w:val="ListBullet"/>
        <w:spacing w:line="312" w:lineRule="auto" w:after="40"/>
      </w:pPr>
      <w:r>
        <w:rPr>
          <w:rFonts w:ascii="Georgia" w:hAnsi="Georgia"/>
          <w:sz w:val="21"/>
        </w:rPr>
        <w:t>Suspender medicamentos vasodilatadores e anticoagulantes conforme orientação médica</w:t>
      </w:r>
    </w:p>
    <w:p>
      <w:pPr>
        <w:pStyle w:val="ListBullet"/>
        <w:spacing w:line="312" w:lineRule="auto" w:after="40"/>
      </w:pPr>
      <w:r>
        <w:rPr>
          <w:rFonts w:ascii="Georgia" w:hAnsi="Georgia"/>
          <w:sz w:val="21"/>
        </w:rPr>
        <w:t>Higiene oral rigorosa nos dias anteriores</w:t>
      </w:r>
    </w:p>
    <w:p>
      <w:pPr>
        <w:pStyle w:val="ListBullet"/>
        <w:spacing w:line="312" w:lineRule="auto" w:after="40"/>
      </w:pPr>
      <w:r>
        <w:rPr>
          <w:rFonts w:ascii="Georgia" w:hAnsi="Georgia"/>
          <w:sz w:val="21"/>
        </w:rPr>
        <w:t>Não fumar e não ingerir álcool 48h antes</w:t>
      </w:r>
    </w:p>
    <w:p>
      <w:pPr>
        <w:pStyle w:val="ListBullet"/>
        <w:spacing w:line="312" w:lineRule="auto" w:after="40"/>
      </w:pPr>
      <w:r>
        <w:rPr>
          <w:rFonts w:ascii="Georgia" w:hAnsi="Georgia"/>
          <w:sz w:val="21"/>
        </w:rPr>
        <w:t>Comunicar imediatamente alterações de saúde antes da data marcada</w:t>
      </w:r>
    </w:p>
    <w:p>
      <w:pPr>
        <w:pStyle w:val="ListBullet"/>
        <w:spacing w:line="312" w:lineRule="auto" w:after="40"/>
      </w:pPr>
      <w:r>
        <w:rPr>
          <w:rFonts w:ascii="Georgia" w:hAnsi="Georgia"/>
          <w:sz w:val="21"/>
        </w:rPr>
        <w:t>Acompanhante adulto obrigatório em cirurgias com sedação ou anestesia geral</w:t>
      </w:r>
    </w:p>
    <w:p>
      <w:pPr>
        <w:keepNext/>
        <w:spacing w:before="280" w:after="80"/>
      </w:pPr>
      <w:r>
        <w:rPr>
          <w:rFonts w:ascii="Garamond" w:hAnsi="Garamond"/>
          <w:b/>
          <w:color w:val="093145"/>
          <w:sz w:val="28"/>
        </w:rPr>
        <w:t>7. Cuidados pós-operatórios</w:t>
      </w:r>
    </w:p>
    <w:p>
      <w:pPr>
        <w:pStyle w:val="ListBullet"/>
        <w:spacing w:line="312" w:lineRule="auto" w:after="40"/>
      </w:pPr>
      <w:r>
        <w:rPr>
          <w:rFonts w:ascii="Georgia" w:hAnsi="Georgia"/>
          <w:sz w:val="21"/>
        </w:rPr>
        <w:t>Repouso relativo nas primeiras 24-48h</w:t>
      </w:r>
    </w:p>
    <w:p>
      <w:pPr>
        <w:pStyle w:val="ListBullet"/>
        <w:spacing w:line="312" w:lineRule="auto" w:after="40"/>
      </w:pPr>
      <w:r>
        <w:rPr>
          <w:rFonts w:ascii="Georgia" w:hAnsi="Georgia"/>
          <w:sz w:val="21"/>
        </w:rPr>
        <w:t>Aplicação de compressa fria (gelo) intermitente nas primeiras 24h, calor após 48h se indicado</w:t>
      </w:r>
    </w:p>
    <w:p>
      <w:pPr>
        <w:pStyle w:val="ListBullet"/>
        <w:spacing w:line="312" w:lineRule="auto" w:after="40"/>
      </w:pPr>
      <w:r>
        <w:rPr>
          <w:rFonts w:ascii="Georgia" w:hAnsi="Georgia"/>
          <w:sz w:val="21"/>
        </w:rPr>
        <w:t>Cabeceira elevada nas primeiras noites</w:t>
      </w:r>
    </w:p>
    <w:p>
      <w:pPr>
        <w:pStyle w:val="ListBullet"/>
        <w:spacing w:line="312" w:lineRule="auto" w:after="40"/>
      </w:pPr>
      <w:r>
        <w:rPr>
          <w:rFonts w:ascii="Georgia" w:hAnsi="Georgia"/>
          <w:sz w:val="21"/>
        </w:rPr>
        <w:t>Dieta líquida fria nos primeiros 2-3 dias, evoluindo gradualmente</w:t>
      </w:r>
    </w:p>
    <w:p>
      <w:pPr>
        <w:pStyle w:val="ListBullet"/>
        <w:spacing w:line="312" w:lineRule="auto" w:after="40"/>
      </w:pPr>
      <w:r>
        <w:rPr>
          <w:rFonts w:ascii="Georgia" w:hAnsi="Georgia"/>
          <w:sz w:val="21"/>
        </w:rPr>
        <w:t>Higiene oral com escova extra-macia, evitando a região operada</w:t>
      </w:r>
    </w:p>
    <w:p>
      <w:pPr>
        <w:pStyle w:val="ListBullet"/>
        <w:spacing w:line="312" w:lineRule="auto" w:after="40"/>
      </w:pPr>
      <w:r>
        <w:rPr>
          <w:rFonts w:ascii="Georgia" w:hAnsi="Georgia"/>
          <w:sz w:val="21"/>
        </w:rPr>
        <w:t>Bochecho suave com solução prescrita após 24h</w:t>
      </w:r>
    </w:p>
    <w:p>
      <w:pPr>
        <w:pStyle w:val="ListBullet"/>
        <w:spacing w:line="312" w:lineRule="auto" w:after="40"/>
      </w:pPr>
      <w:r>
        <w:rPr>
          <w:rFonts w:ascii="Georgia" w:hAnsi="Georgia"/>
          <w:sz w:val="21"/>
        </w:rPr>
        <w:t>Não fumar (compromete cicatrização) e não ingerir álcool durante uso de medicamentos</w:t>
      </w:r>
    </w:p>
    <w:p>
      <w:pPr>
        <w:pStyle w:val="ListBullet"/>
        <w:spacing w:line="312" w:lineRule="auto" w:after="40"/>
      </w:pPr>
      <w:r>
        <w:rPr>
          <w:rFonts w:ascii="Georgia" w:hAnsi="Georgia"/>
          <w:sz w:val="21"/>
        </w:rPr>
        <w:t>Tomar medicação prescrita rigorosamente (antibiótico, anti-inflamatório, analgésico)</w:t>
      </w:r>
    </w:p>
    <w:p>
      <w:pPr>
        <w:pStyle w:val="ListBullet"/>
        <w:spacing w:line="312" w:lineRule="auto" w:after="40"/>
      </w:pPr>
      <w:r>
        <w:rPr>
          <w:rFonts w:ascii="Georgia" w:hAnsi="Georgia"/>
          <w:sz w:val="21"/>
        </w:rPr>
        <w:t>Não realizar esforço físico, exposição solar ou ambientes muito quentes nos primeiros dias</w:t>
      </w:r>
    </w:p>
    <w:p>
      <w:pPr>
        <w:pStyle w:val="ListBullet"/>
        <w:spacing w:line="312" w:lineRule="auto" w:after="40"/>
      </w:pPr>
      <w:r>
        <w:rPr>
          <w:rFonts w:ascii="Georgia" w:hAnsi="Georgia"/>
          <w:sz w:val="21"/>
        </w:rPr>
        <w:t>Comparecer aos retornos agendados para acompanhamento</w:t>
      </w:r>
    </w:p>
    <w:p>
      <w:pPr>
        <w:pStyle w:val="ListBullet"/>
        <w:spacing w:line="312" w:lineRule="auto" w:after="40"/>
      </w:pPr>
      <w:r>
        <w:rPr>
          <w:rFonts w:ascii="Georgia" w:hAnsi="Georgia"/>
          <w:sz w:val="21"/>
        </w:rPr>
        <w:t>Procurar atendimento imediato em caso de sangramento intenso, febre alta persistente, dor incontrolável, edema crescente após o 3º dia, secreção purulenta, dificuldade respiratória</w:t>
      </w:r>
    </w:p>
    <w:p>
      <w:pPr>
        <w:keepNext/>
        <w:spacing w:before="280" w:after="80"/>
      </w:pPr>
      <w:r>
        <w:rPr>
          <w:rFonts w:ascii="Garamond" w:hAnsi="Garamond"/>
          <w:b/>
          <w:color w:val="093145"/>
          <w:sz w:val="28"/>
        </w:rPr>
        <w:t>8. Variabilidade de resultado — obrigação de meio</w:t>
      </w:r>
    </w:p>
    <w:tbl>
      <w:tblPr>
        <w:tblW w:type="auto" w:w="0"/>
        <w:tblLook w:firstColumn="1" w:firstRow="1" w:lastColumn="0" w:lastRow="0" w:noHBand="0" w:noVBand="1" w:val="04A0"/>
      </w:tblPr>
      <w:tblGrid>
        <w:gridCol w:w="9066"/>
      </w:tblGrid>
      <w:tr>
        <w:tc>
          <w:tcPr>
            <w:tcW w:type="dxa" w:w="9066"/>
            <w:shd w:val="clear" w:color="auto" w:fill="F3EFEA"/>
            <w:tcBorders>
              <w:top w:val="nil"/>
              <w:bottom w:val="nil"/>
              <w:right w:val="nil"/>
              <w:left w:val="single" w:sz="24" w:color="9A2618"/>
            </w:tcBorders>
            <w:tcMar>
              <w:top w:w="200" w:type="dxa"/>
              <w:bottom w:w="200" w:type="dxa"/>
              <w:left w:w="300" w:type="dxa"/>
              <w:right w:w="300" w:type="dxa"/>
            </w:tcMar>
          </w:tcPr>
          <w:p>
            <w:r/>
            <w:r>
              <w:rPr>
                <w:rFonts w:ascii="Georgia" w:hAnsi="Georgia"/>
                <w:b/>
                <w:color w:val="9A2618"/>
                <w:sz w:val="18"/>
              </w:rPr>
              <w:t>CONSENTIMENTO SOBRE OBRIGAÇÃO DE MEIO</w:t>
            </w:r>
          </w:p>
          <w:p>
            <w:pPr>
              <w:spacing w:line="312" w:lineRule="auto"/>
            </w:pPr>
            <w:r>
              <w:rPr>
                <w:rFonts w:ascii="Georgia" w:hAnsi="Georgia"/>
                <w:color w:val="111111"/>
                <w:sz w:val="20"/>
              </w:rPr>
              <w:t>A Cirurgia e Traumatologia Bucomaxilofacial é OBRIGAÇÃO DE MEIO — o profissional compromete-se a aplicar técnica diligente conforme estado da arte, mas NÃO GARANTE resultado idêntico ao planejado. Cada paciente responde individualmente ao trauma cirúrgico. A cicatrização, regeneração óssea, ausência de complicações e estabilidade dos resultados em longo prazo dependem de fatores biológicos individuais, complexidade do caso e adesão aos cuidados pós-operatórios. O paciente declara estar ciente da variabilidade biológica.</w:t>
            </w:r>
          </w:p>
        </w:tc>
      </w:tr>
    </w:tbl>
    <w:p>
      <w:pPr>
        <w:spacing w:after="80"/>
      </w:pPr>
    </w:p>
    <w:p>
      <w:pPr>
        <w:keepNext/>
        <w:spacing w:before="280" w:after="80"/>
      </w:pPr>
      <w:r>
        <w:rPr>
          <w:rFonts w:ascii="Garamond" w:hAnsi="Garamond"/>
          <w:b/>
          <w:color w:val="093145"/>
          <w:sz w:val="28"/>
        </w:rPr>
        <w:t>9. Direito de revogação</w:t>
      </w:r>
    </w:p>
    <w:p>
      <w:pPr>
        <w:spacing w:lineRule="auto" w:line="324" w:after="120"/>
        <w:jc w:val="both"/>
      </w:pPr>
      <w:r>
        <w:rPr>
          <w:rFonts w:ascii="Georgia" w:hAnsi="Georgia"/>
          <w:i w:val="0"/>
          <w:sz w:val="21"/>
        </w:rPr>
        <w:t>O paciente declara estar ciente de que pode revogar este consentimento a qualquer momento antes do início da cirurgia, sem qualquer ônus. Após o início, a interrupção será avaliada caso a caso por critério clínico, sempre priorizando a segurança do paciente.</w:t>
      </w:r>
    </w:p>
    <w:p>
      <w:pPr>
        <w:spacing w:before="240" w:after="240"/>
        <w:jc w:val="center"/>
      </w:pPr>
      <w:r>
        <w:rPr>
          <w:color w:val="D4AF37"/>
          <w:sz w:val="18"/>
        </w:rPr>
        <w:t>◆ ◆ ◆</w:t>
      </w:r>
    </w:p>
    <w:p>
      <w:pPr>
        <w:keepNext/>
        <w:spacing w:before="280" w:after="80"/>
      </w:pPr>
      <w:r>
        <w:rPr>
          <w:rFonts w:ascii="Garamond" w:hAnsi="Garamond"/>
          <w:b/>
          <w:color w:val="093145"/>
          <w:sz w:val="28"/>
        </w:rPr>
        <w:t>Tratamento de dados pessoais (LGPD)</w:t>
      </w:r>
    </w:p>
    <w:p>
      <w:pPr>
        <w:spacing w:lineRule="auto" w:line="324" w:after="120"/>
        <w:jc w:val="both"/>
      </w:pPr>
      <w:r>
        <w:rPr>
          <w:rFonts w:ascii="Georgia" w:hAnsi="Georgia"/>
          <w:i w:val="0"/>
          <w:sz w:val="21"/>
        </w:rPr>
        <w:t>O paciente autoriza o tratamento de seus dados pessoais e de saúde para finalidade exclusivamente clínica, conforme a Lei 13.709/2018 (LGPD). Arquivamento pelo prazo mínimo legal (20 anos).</w:t>
      </w:r>
    </w:p>
    <w:p>
      <w:pPr>
        <w:spacing w:before="240" w:after="240"/>
        <w:jc w:val="center"/>
      </w:pPr>
      <w:r>
        <w:rPr>
          <w:color w:val="D4AF37"/>
          <w:sz w:val="18"/>
        </w:rPr>
        <w:t>◆ ◆ ◆</w:t>
      </w:r>
    </w:p>
    <w:p>
      <w:pPr>
        <w:keepNext/>
        <w:spacing w:before="280" w:after="80"/>
      </w:pPr>
      <w:r>
        <w:rPr>
          <w:rFonts w:ascii="Garamond" w:hAnsi="Garamond"/>
          <w:b/>
          <w:color w:val="093145"/>
          <w:sz w:val="28"/>
        </w:rPr>
        <w:t>Declaração final e assinaturas</w:t>
      </w:r>
    </w:p>
    <w:p>
      <w:pPr>
        <w:spacing w:lineRule="auto" w:line="324" w:after="120"/>
        <w:jc w:val="both"/>
      </w:pPr>
      <w:r>
        <w:rPr>
          <w:rFonts w:ascii="Georgia" w:hAnsi="Georgia"/>
          <w:i w:val="0"/>
          <w:sz w:val="21"/>
        </w:rPr>
        <w:t>Declaro que li integralmente este Termo, que minhas dúvidas foram esclarecidas pelo profissional, que compreendo a natureza do procedimento, alternativas, riscos, cuidados e variabilidade de resultado, e que CONSINTO LIVRE E ESCLARECIDAMENTE com a realização do tratamento descrito.</w:t>
      </w:r>
    </w:p>
    <w:p>
      <w:pPr>
        <w:spacing w:lineRule="auto" w:line="324" w:after="120"/>
        <w:jc w:val="both"/>
      </w:pPr>
      <w:r>
        <w:rPr>
          <w:rFonts w:ascii="Georgia" w:hAnsi="Georgia"/>
          <w:i w:val="0"/>
          <w:sz w:val="21"/>
        </w:rPr>
        <w:br/>
        <w:t>_________________________________________________</w:t>
      </w:r>
    </w:p>
    <w:p>
      <w:pPr>
        <w:spacing w:lineRule="auto" w:line="324" w:after="120"/>
        <w:jc w:val="both"/>
      </w:pPr>
      <w:r>
        <w:rPr>
          <w:rFonts w:ascii="Georgia" w:hAnsi="Georgia"/>
          <w:i w:val="0"/>
          <w:sz w:val="21"/>
        </w:rPr>
        <w:t>Paciente (ou responsável legal): [nome] — CPF: [_______]</w:t>
      </w:r>
    </w:p>
    <w:p>
      <w:pPr>
        <w:spacing w:lineRule="auto" w:line="324" w:after="120"/>
        <w:jc w:val="both"/>
      </w:pPr>
      <w:r>
        <w:rPr>
          <w:rFonts w:ascii="Georgia" w:hAnsi="Georgia"/>
          <w:i w:val="0"/>
          <w:sz w:val="21"/>
        </w:rPr>
        <w:t>Data: ___/___/_______</w:t>
      </w:r>
    </w:p>
    <w:p>
      <w:pPr>
        <w:spacing w:lineRule="auto" w:line="324" w:after="120"/>
        <w:jc w:val="both"/>
      </w:pPr>
      <w:r>
        <w:rPr>
          <w:rFonts w:ascii="Georgia" w:hAnsi="Georgia"/>
          <w:i w:val="0"/>
          <w:sz w:val="21"/>
        </w:rPr>
        <w:br/>
        <w:t>_________________________________________________</w:t>
      </w:r>
    </w:p>
    <w:p>
      <w:pPr>
        <w:spacing w:lineRule="auto" w:line="324" w:after="120"/>
        <w:jc w:val="both"/>
      </w:pPr>
      <w:r>
        <w:rPr>
          <w:rFonts w:ascii="Georgia" w:hAnsi="Georgia"/>
          <w:i w:val="0"/>
          <w:sz w:val="21"/>
        </w:rPr>
        <w:t>Profissional responsável: [nome] — CRO/UF [_______]</w:t>
      </w:r>
    </w:p>
    <w:p>
      <w:pPr>
        <w:spacing w:lineRule="auto" w:line="324" w:after="120"/>
        <w:jc w:val="both"/>
      </w:pPr>
      <w:r>
        <w:rPr>
          <w:rFonts w:ascii="Georgia" w:hAnsi="Georgia"/>
          <w:i w:val="0"/>
          <w:sz w:val="21"/>
        </w:rPr>
        <w:t>Data: ___/___/_______</w:t>
      </w:r>
    </w:p>
    <w:p>
      <w:pPr>
        <w:spacing w:lineRule="auto" w:line="324" w:after="120"/>
        <w:jc w:val="both"/>
      </w:pPr>
      <w:r>
        <w:rPr>
          <w:rFonts w:ascii="Georgia" w:hAnsi="Georgia"/>
          <w:i w:val="0"/>
          <w:sz w:val="21"/>
        </w:rPr>
        <w:br/>
        <w:t>Testemunha (quando aplicável): _________________________________________________</w:t>
      </w:r>
    </w:p>
    <w:p>
      <w:pPr>
        <w:spacing w:before="240" w:after="240"/>
        <w:jc w:val="center"/>
      </w:pPr>
      <w:r>
        <w:rPr>
          <w:color w:val="D4AF37"/>
          <w:sz w:val="18"/>
        </w:rPr>
        <w:t>◆ ◆ ◆</w:t>
      </w:r>
    </w:p>
    <w:p>
      <w:pPr>
        <w:keepNext/>
        <w:spacing w:before="280" w:after="80"/>
      </w:pPr>
      <w:r>
        <w:rPr>
          <w:rFonts w:ascii="Garamond" w:hAnsi="Garamond"/>
          <w:b/>
          <w:color w:val="093145"/>
          <w:sz w:val="28"/>
        </w:rPr>
        <w:t>Quem está por trás deste material</w:t>
      </w:r>
    </w:p>
    <w:tbl>
      <w:tblPr>
        <w:tblW w:type="auto" w:w="0"/>
        <w:tblLayout w:type="fixed"/>
        <w:tblLook w:firstColumn="1" w:firstRow="1" w:lastColumn="0" w:lastRow="0" w:noHBand="0" w:noVBand="1" w:val="04A0"/>
      </w:tblPr>
      <w:tblGrid>
        <w:gridCol w:w="4252"/>
        <w:gridCol w:w="4252"/>
      </w:tblGrid>
      <w:tr>
        <w:tc>
          <w:tcPr>
            <w:tcW w:type="dxa" w:w="4533"/>
            <w:shd w:val="clear" w:color="auto" w:fill="F3EFEA"/>
            <w:tcBorders>
              <w:top w:val="nil"/>
              <w:left w:val="nil"/>
              <w:bottom w:val="nil"/>
              <w:right w:val="nil"/>
              <w:insideH w:val="nil"/>
              <w:insideV w:val="nil"/>
            </w:tcBorders>
            <w:tcMar>
              <w:top w:w="240" w:type="dxa"/>
              <w:bottom w:w="240" w:type="dxa"/>
              <w:left w:w="320" w:type="dxa"/>
              <w:right w:w="320" w:type="dxa"/>
            </w:tcMar>
          </w:tcPr>
          <w:p>
            <w:r/>
            <w:r>
              <w:rPr>
                <w:rFonts w:ascii="Georgia" w:hAnsi="Georgia"/>
                <w:b/>
                <w:color w:val="9A2618"/>
                <w:sz w:val="17"/>
              </w:rPr>
              <w:t>ELABORAÇÃO JURÍDICA</w:t>
            </w:r>
          </w:p>
          <w:p>
            <w:r>
              <w:rPr>
                <w:rFonts w:ascii="Garamond" w:hAnsi="Garamond"/>
                <w:b/>
                <w:color w:val="093145"/>
                <w:sz w:val="24"/>
              </w:rPr>
              <w:t>Dr. Luiggi Belisário · OAB/SP 513.090</w:t>
            </w:r>
          </w:p>
          <w:p>
            <w:r>
              <w:rPr>
                <w:rFonts w:ascii="Georgia" w:hAnsi="Georgia"/>
                <w:color w:val="111111"/>
                <w:sz w:val="18"/>
              </w:rPr>
              <w:t>Sócio-fundador · Belisário Maciel Advogados</w:t>
              <w:br/>
              <w:t>Direito Médico e Odontológico</w:t>
            </w:r>
          </w:p>
        </w:tc>
        <w:tc>
          <w:tcPr>
            <w:tcW w:type="dxa" w:w="4533"/>
            <w:shd w:val="clear" w:color="auto" w:fill="F3EFEA"/>
            <w:tcBorders>
              <w:top w:val="nil"/>
              <w:left w:val="nil"/>
              <w:bottom w:val="nil"/>
              <w:right w:val="nil"/>
              <w:insideH w:val="nil"/>
              <w:insideV w:val="nil"/>
            </w:tcBorders>
            <w:tcMar>
              <w:top w:w="240" w:type="dxa"/>
              <w:bottom w:w="240" w:type="dxa"/>
              <w:left w:w="320" w:type="dxa"/>
              <w:right w:w="320" w:type="dxa"/>
            </w:tcMar>
          </w:tcPr>
          <w:p>
            <w:r/>
            <w:r>
              <w:rPr>
                <w:rFonts w:ascii="Georgia" w:hAnsi="Georgia"/>
                <w:b/>
                <w:color w:val="9A2618"/>
                <w:sz w:val="17"/>
              </w:rPr>
              <w:t>VALIDAÇÃO TÉCNICA ODONTOLÓGICA</w:t>
            </w:r>
          </w:p>
          <w:p>
            <w:r>
              <w:rPr>
                <w:rFonts w:ascii="Garamond" w:hAnsi="Garamond"/>
                <w:b/>
                <w:color w:val="093145"/>
                <w:sz w:val="24"/>
              </w:rPr>
              <w:t>Dra. Bianca Stéfann Sousa Chagas</w:t>
            </w:r>
          </w:p>
          <w:p>
            <w:r>
              <w:rPr>
                <w:rFonts w:ascii="Georgia" w:hAnsi="Georgia"/>
                <w:color w:val="111111"/>
                <w:sz w:val="18"/>
              </w:rPr>
              <w:t>CRO/SP 152329</w:t>
              <w:br/>
              <w:t>Validação técnica odontológica</w:t>
            </w:r>
          </w:p>
        </w:tc>
      </w:tr>
    </w:tbl>
    <w:p/>
    <w:tbl>
      <w:tblPr>
        <w:tblW w:type="auto" w:w="0"/>
        <w:tblLook w:firstColumn="1" w:firstRow="1" w:lastColumn="0" w:lastRow="0" w:noHBand="0" w:noVBand="1" w:val="04A0"/>
      </w:tblPr>
      <w:tblGrid>
        <w:gridCol w:w="9066"/>
      </w:tblGrid>
      <w:tr>
        <w:tc>
          <w:tcPr>
            <w:tcW w:type="dxa" w:w="9066"/>
            <w:shd w:val="clear" w:color="auto" w:fill="F3EFEA"/>
            <w:tcBorders>
              <w:top w:val="nil"/>
              <w:bottom w:val="nil"/>
              <w:right w:val="nil"/>
              <w:left w:val="single" w:sz="24" w:color="9A2618"/>
            </w:tcBorders>
            <w:tcMar>
              <w:top w:w="200" w:type="dxa"/>
              <w:bottom w:w="200" w:type="dxa"/>
              <w:left w:w="300" w:type="dxa"/>
              <w:right w:w="300" w:type="dxa"/>
            </w:tcMar>
          </w:tcPr>
          <w:p>
            <w:r/>
            <w:r>
              <w:rPr>
                <w:rFonts w:ascii="Georgia" w:hAnsi="Georgia"/>
                <w:b/>
                <w:color w:val="9A2618"/>
                <w:sz w:val="18"/>
              </w:rPr>
              <w:t>AVISO DE RESPONSABILIDADE</w:t>
            </w:r>
          </w:p>
          <w:p>
            <w:pPr>
              <w:spacing w:line="312" w:lineRule="auto"/>
            </w:pPr>
            <w:r>
              <w:rPr>
                <w:rFonts w:ascii="Georgia" w:hAnsi="Georgia"/>
                <w:color w:val="111111"/>
                <w:sz w:val="20"/>
              </w:rPr>
              <w:t>A elaboração jurídica e a responsabilidade contratual permanecem com o Belisário Maciel Advogados. Os modelos são templates educativos e devem ser personalizados pelo cirurgião-dentista responsável conforme caso clínico, técnica empregada e perfil do paciente. A revisão técnica abrange a adequação dos riscos clínicos e cuidados gerais à literatura e diretrizes da especialidade — não substitui análise individualizada de cada caso pelo profissional responsável.</w:t>
            </w:r>
          </w:p>
        </w:tc>
      </w:tr>
    </w:tbl>
    <w:p>
      <w:pPr>
        <w:spacing w:after="80"/>
      </w:pPr>
    </w:p>
    <w:p>
      <w:pPr>
        <w:spacing w:before="240" w:after="240"/>
        <w:jc w:val="center"/>
      </w:pPr>
      <w:r>
        <w:rPr>
          <w:color w:val="D4AF37"/>
          <w:sz w:val="18"/>
        </w:rPr>
        <w:t>◆ ◆ ◆</w:t>
      </w:r>
    </w:p>
    <w:p>
      <w:pPr>
        <w:jc w:val="center"/>
      </w:pPr>
      <w:r>
        <w:rPr>
          <w:rFonts w:ascii="Georgia" w:hAnsi="Georgia"/>
          <w:b/>
          <w:color w:val="093145"/>
          <w:sz w:val="20"/>
        </w:rPr>
        <w:t>BELISÁRIO MACIEL ADVOGADOS</w:t>
      </w:r>
    </w:p>
    <w:p>
      <w:pPr>
        <w:jc w:val="center"/>
      </w:pPr>
      <w:r>
        <w:rPr>
          <w:rFonts w:ascii="Georgia" w:hAnsi="Georgia"/>
          <w:i/>
          <w:color w:val="5A6470"/>
          <w:sz w:val="17"/>
        </w:rPr>
        <w:t>Direito Médico e Odontológico · São Paulo · belisario.com.br</w:t>
      </w:r>
    </w:p>
    <w:p>
      <w:pPr>
        <w:jc w:val="center"/>
      </w:pPr>
      <w:r>
        <w:rPr>
          <w:rFonts w:ascii="Georgia" w:hAnsi="Georgia"/>
          <w:color w:val="5A6470"/>
          <w:sz w:val="15"/>
        </w:rPr>
        <w:t>Documento versão 1.0 · May de 2026</w:t>
        <w:br/>
        <w:t>Este material é educativo e não substitui consultoria jurídica individualizada.</w:t>
      </w:r>
    </w:p>
    <w:sectPr w:rsidR="00FC693F" w:rsidRPr="0006063C" w:rsidSect="00034616">
      <w:headerReference w:type="default" r:id="rId10"/>
      <w:footerReference w:type="default" r:id="rId11"/>
      <w:pgSz w:w="12240" w:h="15840"/>
      <w:pgMar w:top="1474" w:right="1587" w:bottom="1474" w:left="1587" w:header="680" w:footer="68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402"/>
      <w:gridCol w:w="2268"/>
      <w:gridCol w:w="3402"/>
    </w:tblGrid>
    <w:tr>
      <w:tc>
        <w:tcPr>
          <w:tcW w:type="dxa" w:w="3024"/>
          <w:tcBorders>
            <w:top w:val="nil"/>
            <w:left w:val="nil"/>
            <w:bottom w:val="nil"/>
            <w:right w:val="nil"/>
            <w:insideH w:val="nil"/>
            <w:insideV w:val="nil"/>
          </w:tcBorders>
        </w:tcPr>
        <w:p>
          <w:pPr>
            <w:jc w:val="left"/>
          </w:pPr>
          <w:r>
            <w:rPr>
              <w:rFonts w:ascii="Georgia" w:hAnsi="Georgia"/>
              <w:color w:val="5A6470"/>
              <w:sz w:val="16"/>
            </w:rPr>
            <w:t>Belisário Maciel Advogados</w:t>
          </w:r>
        </w:p>
      </w:tc>
      <w:tc>
        <w:tcPr>
          <w:tcW w:type="dxa" w:w="3024"/>
          <w:tcBorders>
            <w:top w:val="nil"/>
            <w:left w:val="nil"/>
            <w:bottom w:val="nil"/>
            <w:right w:val="nil"/>
            <w:insideH w:val="nil"/>
            <w:insideV w:val="nil"/>
          </w:tcBorders>
        </w:tcPr>
        <w:p>
          <w:pPr>
            <w:jc w:val="center"/>
          </w:pPr>
          <w:r>
            <w:rPr>
              <w:color w:val="D4AF37"/>
              <w:sz w:val="16"/>
            </w:rPr>
            <w:t>◆</w:t>
          </w:r>
        </w:p>
      </w:tc>
      <w:tc>
        <w:tcPr>
          <w:tcW w:type="dxa" w:w="3024"/>
          <w:tcBorders>
            <w:top w:val="nil"/>
            <w:left w:val="nil"/>
            <w:bottom w:val="nil"/>
            <w:right w:val="nil"/>
            <w:insideH w:val="nil"/>
            <w:insideV w:val="nil"/>
          </w:tcBorders>
        </w:tcPr>
        <w:p>
          <w:pPr>
            <w:jc w:val="right"/>
          </w:pPr>
          <w:r>
            <w:rPr>
              <w:rFonts w:ascii="Georgia" w:hAnsi="Georgia"/>
              <w:color w:val="5A6470"/>
              <w:sz w:val="16"/>
            </w:rPr>
            <w:t xml:space="preserve">Página </w:t>
          </w:r>
          <w:r>
            <w:rPr>
              <w:rFonts w:ascii="Georgia" w:hAnsi="Georgia"/>
              <w:color w:val="5A6470"/>
              <w:sz w:val="16"/>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4535"/>
      <w:gridCol w:w="4535"/>
    </w:tblGrid>
    <w:tr>
      <w:tc>
        <w:tcPr>
          <w:tcW w:type="dxa" w:w="4535"/>
          <w:tcBorders>
            <w:top w:val="nil"/>
            <w:left w:val="nil"/>
            <w:bottom w:val="nil"/>
            <w:right w:val="nil"/>
            <w:insideH w:val="nil"/>
            <w:insideV w:val="nil"/>
          </w:tcBorders>
        </w:tcPr>
        <w:p>
          <w:pPr>
            <w:jc w:val="left"/>
          </w:pPr>
          <w:r>
            <w:drawing>
              <wp:inline xmlns:a="http://schemas.openxmlformats.org/drawingml/2006/main" xmlns:pic="http://schemas.openxmlformats.org/drawingml/2006/picture">
                <wp:extent cx="1152000" cy="174960"/>
                <wp:docPr id="1" name="Picture 1"/>
                <wp:cNvGraphicFramePr>
                  <a:graphicFrameLocks noChangeAspect="1"/>
                </wp:cNvGraphicFramePr>
                <a:graphic>
                  <a:graphicData uri="http://schemas.openxmlformats.org/drawingml/2006/picture">
                    <pic:pic>
                      <pic:nvPicPr>
                        <pic:cNvPr id="0" name="logo-belisario-principal.png"/>
                        <pic:cNvPicPr/>
                      </pic:nvPicPr>
                      <pic:blipFill>
                        <a:blip r:embed="rId1"/>
                        <a:stretch>
                          <a:fillRect/>
                        </a:stretch>
                      </pic:blipFill>
                      <pic:spPr>
                        <a:xfrm>
                          <a:off x="0" y="0"/>
                          <a:ext cx="1152000" cy="174960"/>
                        </a:xfrm>
                        <a:prstGeom prst="rect"/>
                      </pic:spPr>
                    </pic:pic>
                  </a:graphicData>
                </a:graphic>
              </wp:inline>
            </w:drawing>
          </w:r>
        </w:p>
      </w:tc>
      <w:tc>
        <w:tcPr>
          <w:tcW w:type="dxa" w:w="4535"/>
          <w:tcBorders>
            <w:top w:val="nil"/>
            <w:left w:val="nil"/>
            <w:bottom w:val="nil"/>
            <w:right w:val="nil"/>
            <w:insideH w:val="nil"/>
            <w:insideV w:val="nil"/>
          </w:tcBorders>
        </w:tcPr>
        <w:p>
          <w:pPr>
            <w:jc w:val="right"/>
          </w:pPr>
          <w:r>
            <w:rPr>
              <w:rFonts w:ascii="Georgia" w:hAnsi="Georgia"/>
              <w:i/>
              <w:color w:val="5A6470"/>
              <w:sz w:val="16"/>
            </w:rPr>
            <w:t>TCLE Cirurgia Bucomaxilofacial</w:t>
          </w:r>
        </w:p>
      </w:tc>
    </w:tr>
  </w:tbl>
  <w:p>
    <w:pPr>
      <w:pBdr>
        <w:bottom w:val="single" w:sz="4" w:space="4" w:color="D4AF37"/>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color w:val="11111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