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2240"/>
      </w:tblGrid>
      <w:tr>
        <w:trPr>
          <w:trHeight w:val="16839" w:hRule="atLeast"/>
        </w:trPr>
        <w:tc>
          <w:tcPr>
            <w:tcW w:type="dxa" w:w="12240"/>
            <w:shd w:val="clear" w:color="auto" w:fill="093145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0" w:type="dxa"/>
              <w:bottom w:w="900" w:type="dxa"/>
              <w:left w:w="900" w:type="dxa"/>
              <w:right w:w="900" w:type="dxa"/>
            </w:tcMar>
            <w:vAlign w:val="top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980000" cy="300712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-belisario-principa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30071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rPr>
                <w:sz w:val="60"/>
              </w:rPr>
            </w:r>
          </w:p>
          <w:p>
            <w:pPr>
              <w:spacing w:after="280"/>
              <w:jc w:val="center"/>
            </w:pPr>
            <w:r>
              <w:rPr>
                <w:rFonts w:ascii="Georgia" w:hAnsi="Georgia"/>
                <w:b/>
                <w:color w:val="C8D4DC"/>
                <w:sz w:val="18"/>
              </w:rPr>
              <w:t>BANCO DE TCLE ODONTOLÓGICO · HOF</w:t>
            </w:r>
          </w:p>
          <w:p>
            <w:pPr>
              <w:spacing w:after="200" w:line="276" w:lineRule="auto"/>
              <w:jc w:val="center"/>
            </w:pPr>
            <w:r>
              <w:rPr>
                <w:rFonts w:ascii="Garamond" w:hAnsi="Garamond"/>
                <w:color w:val="FFFFFF"/>
                <w:sz w:val="48"/>
              </w:rPr>
              <w:t>TCLE</w:t>
              <w:br/>
              <w:t>Harmonização Orofacial</w:t>
            </w:r>
          </w:p>
          <w:p>
            <w:pPr>
              <w:spacing w:after="400"/>
              <w:jc w:val="center"/>
            </w:pPr>
            <w:r>
              <w:rPr>
                <w:rFonts w:ascii="Garamond" w:hAnsi="Garamond"/>
                <w:i/>
                <w:color w:val="C8D4DC"/>
                <w:sz w:val="24"/>
              </w:rPr>
              <w:t>Termo de Consentimento Livre e Esclarecido — Modelo Editável</w:t>
            </w:r>
          </w:p>
          <w:p>
            <w:pPr>
              <w:jc w:val="center"/>
            </w:pPr>
            <w:r>
              <w:rPr>
                <w:color w:val="D4AF37"/>
                <w:sz w:val="18"/>
              </w:rPr>
              <w:t>◆ ◆ ◆</w:t>
            </w:r>
          </w:p>
          <w:p>
            <w:r>
              <w:rPr>
                <w:sz w:val="160"/>
              </w:rPr>
            </w:r>
          </w:p>
          <w:p>
            <w:pPr>
              <w:spacing w:after="40"/>
              <w:jc w:val="center"/>
            </w:pPr>
            <w:r>
              <w:rPr>
                <w:rFonts w:ascii="Georgia" w:hAnsi="Georgia"/>
                <w:b/>
                <w:color w:val="FFFFFF"/>
                <w:sz w:val="18"/>
              </w:rPr>
              <w:t>BELISÁRIO MACIEL ADVOGADOS</w:t>
            </w:r>
          </w:p>
          <w:p>
            <w:pPr>
              <w:jc w:val="center"/>
            </w:pPr>
            <w:r>
              <w:rPr>
                <w:rFonts w:ascii="Georgia" w:hAnsi="Georgia"/>
                <w:i/>
                <w:color w:val="C8D4DC"/>
                <w:sz w:val="16"/>
              </w:rPr>
              <w:t>belisario.com.br · São Paulo</w:t>
            </w:r>
          </w:p>
        </w:tc>
      </w:tr>
    </w:tbl>
    <w:p>
      <w:pPr>
        <w:sectPr>
          <w:pgSz w:w="12240" w:h="15840"/>
          <w:pgMar w:top="0" w:right="0" w:bottom="0" w:left="0" w:header="0" w:footer="0" w:gutter="0"/>
          <w:cols w:space="720"/>
          <w:docGrid w:linePitch="360"/>
        </w:sectPr>
      </w:pP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Como usar este modelo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Este modelo é um TEMPLATE EDITÁVEL para procedimentos de Harmonização Orofacial (HOF). Atende exigências da Resolução CFO 118/2012 e respeita os limites da Resolução CFO 198/2019, que regulamenta a especialidade de HOF e define os procedimentos autorizados ao cirurgião-dentista.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LIMITES DA RES. CFO 198/2019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HOF na odontologia abrange apenas procedimentos no terço inferior e médio da face, com finalidade odontológica e/ou estética. O cirurgião-dentista habilitado em HOF pode realizar: toxina botulínica em musculatura mastigatória/perioral, preenchimento facial nas áreas autorizadas, fios de sustentação, microagulhamento, peeling químico, bichectomia (com habilitação específica). Procedimentos fora do escopo autorizado configuram exercício ilegal e infração ético-disciplinar grave.</w:t>
            </w:r>
          </w:p>
        </w:tc>
      </w:tr>
    </w:tbl>
    <w:p>
      <w:pPr>
        <w:spacing w:after="80"/>
      </w:pP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PERSONALIZAÇÃO OBRIGATÓRIA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Os campos com [colchetes] devem ser preenchidos. A redação final DEVE especificar o procedimento exato (toxina botulínica, preenchimento, fios, peeling, microagulhamento), área tratada, produto/lote utilizado e técnica empregada. Riscos vasculares são especialmente relevantes em preenchimento facial e exigem treinamento técnico do profissional.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Termo de Consentimento Livre e Esclarecido — Harmonização Orofacial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1. Identificação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Paciente: [nome completo, CPF, RG, data de nascimento, endereço, telefone]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 completo, CRO/UF, certificação em HOF — Res. CFO 198/2019]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Local: [endereço da clínica/consultório com habilitação para o procedimento] · Data: ___/___/_______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2. Descrição técnica do procedimento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Será realizado [procedimento — ex: aplicação de toxina botulínica em musculatura masseter para tratamento de bruxismo / preenchimento facial com ácido hialurônico em sulco nasolabial / aplicação de fios de sustentação na região zigomática].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Produto e lote: [marca, lote, validade — registro ANVISA].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Quantidade aplicada: [unidades/ml].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Técnica empregada: [bólus / linear retrógrada / leque / cânula / agulha]. Pontos de aplicação: [descrição].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Duração estimada do efeito: [meses/anos] — variável conforme indivíduo.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3. Indicação clínica específica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A indicação baseia-se em: [diagnóstico — bruxismo, dor miofascial mastigatória, sorriso gengival, envelhecimento facial, perda de volume]. Exames: [exame clínico, fotos pré-operatórias, ultrassom Doppler em casos de risco vascular quando aplicável].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4. Alternativas terapêuticas avaliadas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[Acompanhamento clínico sem intervenção em HOF]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[Terapia conservadora — placa oclusal para bruxismo, fisioterapia, fonoaudiologia]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[Encaminhamento médico para casos fora do escopo da HOF odontológica]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[Outras modalidades de HOF com vantagens e limitações comparativas]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5. Riscos típicos e atípicos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típicos (mais frequentes)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Edema local nas primeiras 24-72h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Hematoma e equimose (manchas roxas) na região tratada, com resolução em 7-14 dias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Dor local imediata na aplicação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Sensibilidade local pós-procedimento por alguns dias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Discreta assimetria temporária — geralmente resolvida em dias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atípicos (menos frequentes, relevantes)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toxina botulínica: assimetria expressiva, ptose palpebral, paresia de músculos não alvo, dificuldade mastigatória/fonação temporária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preenchimento facial: OCLUSÃO VASCULAR (compressão ou embolização de artéria) — risco grave que pode causar necrose tecidual local; ALTAMENTE RARO mas exige protocolo de emergência (hialuronidase) em casos com ácido hialurônico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Embolia distal — em casos extremos de oclusão vascular, complicação oftalmológica/cerebral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Granulomas inflamatórios crônicos no local do preenchimento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Reação alérgica ou de hipersensibilidade ao produto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Migração do produto para áreas adjacentes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Necrose tecidual por compressão vascular sustentada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Infecção local — rara com técnica asséptica adequada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Resultado estético/funcional aquém do esperado (sub-correção, sobre-correção, assimetria persistente)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Necessidade de retoque ou correção em sessão complementar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RISCO VASCULAR EM PREENCHIMENTO FACIAL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OCLUSÃO VASCULAR é o risco mais grave em preenchimento facial. Embora rara (&lt;1% em mãos treinadas), pode causar dano tissular permanente. O profissional declara possuir: treinamento específico, protocolo de emergência com hialuronidase em estoque (para preenchimentos com ácido hialurônico), e conhecimento da anatomia vascular da face. Em caso de sinais (palidez, dor intensa desproporcional, escurecimento), a intervenção imediata é determinante.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6. Cuidados pré-operatórios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Suspender medicamentos vasodilatadores e anticoagulantes conforme orientação médica (ex.: AAS, ômega-3, ginkgo, vitamina E) com antecedência adequada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Não consumir álcool 24h antes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Comunicar todas as condições de saúde, alergias, gestação ou amamentação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Não realizar procedimento em vigência de processos infecciosos ativos na área (acne pustular, herpes labial)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caso de histórico de herpes labial: profilaxia antiviral conforme orientação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7. Cuidados pós-operatórios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Aplicação intermitente de gelo nas primeiras horas (apenas com proteção, não direto)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Não massagear a região tratada nas primeiras 24-48h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Dormir com cabeceira elevada nas primeiras noites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Evitar exercícios físicos intensos por 24-48h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Evitar exposição solar direta, sauna, calor excessivo por 7 dias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Não realizar procedimentos faciais (massagem, peeling, ultrassom) por 14 dias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toxina botulínica: evitar deitar nas 4h seguintes; movimentar a musculatura (testa/sorriso) sem exagero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Comparecer aos retornos para avaliação de resultado e eventual retoque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Procurar atendimento IMEDIATO em caso de palidez ou escurecimento da pele, dor desproporcional persistente, alteração visual, alteração neurológica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8. Variabilidade de resultado — obrigação de meio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CONSENTIMENTO SOBRE OBRIGAÇÃO DE MEIO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Harmonização Orofacial é OBRIGAÇÃO DE MEIO — o profissional compromete-se a aplicar técnica diligente conforme estado da arte, mas NÃO GARANTE resultado estético idêntico ao planejado. Cada paciente responde individualmente aos produtos e procedimentos. A duração do efeito varia: toxina botulínica geralmente 3-6 meses; ácido hialurônico de 6 a 18 meses dependendo do produto e área. Pequenas assimetrias residuais podem ocorrer. O paciente declara estar ciente da natureza temporária dos efeitos e da variabilidade biológica individual.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9. Direito de revogação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O paciente declara estar ciente de que pode revogar este consentimento a qualquer momento antes da aplicação. Após a aplicação de toxina botulínica ou preenchimento, o efeito não pode ser instantaneamente revertido (em ácido hialurônico, dissolução com hialuronidase é possível em emergências; em toxina botulínica, o efeito desaparece com o metabolismo natural).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Tratamento de dados pessoais e de imagem (LGPD)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O paciente autoriza o tratamento de seus dados pessoais e de saúde para finalidade exclusivamente clínica, conforme Lei 13.709/2018 (LGPD). Arquivamento pelo prazo mínimo legal (20 anos). Eventual uso de fotos/imagens para fins didáticos, científicos ou publicitários exige TCLE ESPECÍFICO de uso de imagem, separado deste documento, e respeita as Resoluções CFO 196/2019 e 271/2025 sobre publicidade odontológica.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Declaração final e assinaturas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Declaro que li integralmente este Termo, que minhas dúvidas foram esclarecidas pelo profissional, que compreendo a natureza do procedimento, alternativas, riscos (incluindo o risco vascular grave em preenchimento facial), cuidados, duração temporária do efeito e variabilidade de resultado, e CONSINTO LIVRE E ESCLARECIDAMENTE com a realização do procedimento descrito.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 (ou responsável legal): [nome] — CPF: [_______] · Data: ___/___/_______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[nome] — CRO/UF [_______] · Habilitação HOF: [registro] · Data: ___/___/_______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Quem está por trás deste material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252"/>
        <w:gridCol w:w="4252"/>
      </w:tblGrid>
      <w:tr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ELABORAÇÃO JURÍDICA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Dr. Luiggi Belisário · OAB/SP 513.090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Sócio-fundador · Belisário Maciel Advogados</w:t>
              <w:br/>
              <w:t>Direito Médico e Odontológico</w:t>
            </w:r>
          </w:p>
        </w:tc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VALIDAÇÃO TÉCNICA ODONTOLÓGICA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Dra. Bianca Stéfann Sousa Chagas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CRO/SP 152329</w:t>
              <w:br/>
              <w:t>Validação técnica odontológica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AVISO DE RESPONSABILIDADE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elaboração jurídica e a responsabilidade contratual permanecem com o Belisário Maciel Advogados. Os modelos são templates educativos e devem ser personalizados pelo cirurgião-dentista responsável conforme caso clínico, técnica empregada e perfil do paciente. A revisão técnica abrange a adequação dos riscos clínicos e cuidados gerais à literatura e diretrizes da especialidade — não substitui análise individualizada de cada caso pelo profissional responsável.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jc w:val="center"/>
      </w:pPr>
      <w:r>
        <w:rPr>
          <w:rFonts w:ascii="Georgia" w:hAnsi="Georgia"/>
          <w:b/>
          <w:color w:val="093145"/>
          <w:sz w:val="20"/>
        </w:rPr>
        <w:t>BELISÁRIO MACIEL ADVOGADOS</w:t>
      </w:r>
    </w:p>
    <w:p>
      <w:pPr>
        <w:jc w:val="center"/>
      </w:pPr>
      <w:r>
        <w:rPr>
          <w:rFonts w:ascii="Georgia" w:hAnsi="Georgia"/>
          <w:i/>
          <w:color w:val="5A6470"/>
          <w:sz w:val="17"/>
        </w:rPr>
        <w:t>Direito Médico e Odontológico · São Paulo · belisario.com.br</w:t>
      </w:r>
    </w:p>
    <w:p>
      <w:pPr>
        <w:jc w:val="center"/>
      </w:pPr>
      <w:r>
        <w:rPr>
          <w:rFonts w:ascii="Georgia" w:hAnsi="Georgia"/>
          <w:color w:val="5A6470"/>
          <w:sz w:val="15"/>
        </w:rPr>
        <w:t>Documento versão 1.0 · May de 2026</w:t>
        <w:br/>
        <w:t>Este material é educativo e não substitui consultoria jurídica individualizada.</w:t>
      </w:r>
    </w:p>
    <w:sectPr w:rsidR="00FC693F" w:rsidRPr="0006063C" w:rsidSect="00034616">
      <w:headerReference w:type="default" r:id="rId10"/>
      <w:footerReference w:type="default" r:id="rId11"/>
      <w:pgSz w:w="12240" w:h="15840"/>
      <w:pgMar w:top="1474" w:right="1587" w:bottom="1474" w:left="1587" w:header="680" w:footer="68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3402"/>
      <w:gridCol w:w="2268"/>
      <w:gridCol w:w="3402"/>
    </w:tblGrid>
    <w:tr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rPr>
              <w:rFonts w:ascii="Georgia" w:hAnsi="Georgia"/>
              <w:color w:val="5A6470"/>
              <w:sz w:val="16"/>
            </w:rPr>
            <w:t>Belisário Maciel Advogados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center"/>
          </w:pPr>
          <w:r>
            <w:rPr>
              <w:color w:val="D4AF37"/>
              <w:sz w:val="16"/>
            </w:rPr>
            <w:t>◆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color w:val="5A6470"/>
              <w:sz w:val="16"/>
            </w:rPr>
            <w:t xml:space="preserve">Página </w:t>
          </w:r>
          <w:r>
            <w:rPr>
              <w:rFonts w:ascii="Georgia" w:hAnsi="Georgia"/>
              <w:color w:val="5A6470"/>
              <w:sz w:val="16"/>
            </w:rPr>
            <w:fldChar w:fldCharType="begin"/>
            <w:instrText xml:space="preserve"> PAGE </w:instrText>
            <w:fldChar w:fldCharType="end"/>
          </w:r>
        </w:p>
      </w:tc>
    </w:tr>
  </w:tbl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4535"/>
      <w:gridCol w:w="4535"/>
    </w:tblGrid>
    <w:tr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152000" cy="17496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-belisario-principal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000" cy="17496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i/>
              <w:color w:val="5A6470"/>
              <w:sz w:val="16"/>
            </w:rPr>
            <w:t>TCLE Harmonização Orofacial</w:t>
          </w:r>
        </w:p>
      </w:tc>
    </w:tr>
  </w:tbl>
  <w:p>
    <w:pPr>
      <w:pBdr>
        <w:bottom w:val="single" w:sz="4" w:space="4" w:color="D4AF37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orgia" w:hAnsi="Georgia"/>
      <w:color w:val="111111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header" Target="header1.xml"/><Relationship Id="rId11" Type="http://schemas.openxmlformats.org/officeDocument/2006/relationships/footer" Target="foot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