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12240"/>
      </w:tblGrid>
      <w:tr>
        <w:trPr>
          <w:trHeight w:val="16839" w:hRule="atLeast"/>
        </w:trPr>
        <w:tc>
          <w:tcPr>
            <w:tcW w:type="dxa" w:w="12240"/>
            <w:shd w:val="clear" w:color="auto" w:fill="093145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tcMar>
              <w:top w:w="2400" w:type="dxa"/>
              <w:bottom w:w="900" w:type="dxa"/>
              <w:left w:w="900" w:type="dxa"/>
              <w:right w:w="900" w:type="dxa"/>
            </w:tcMar>
            <w:vAlign w:val="top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980000" cy="300712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logo-belisario-principal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0000" cy="300712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r>
              <w:rPr>
                <w:sz w:val="60"/>
              </w:rPr>
            </w:r>
          </w:p>
          <w:p>
            <w:pPr>
              <w:spacing w:after="280"/>
              <w:jc w:val="center"/>
            </w:pPr>
            <w:r>
              <w:rPr>
                <w:rFonts w:ascii="Georgia" w:hAnsi="Georgia"/>
                <w:b/>
                <w:color w:val="C8D4DC"/>
                <w:sz w:val="18"/>
              </w:rPr>
              <w:t>BANCO DE TCLE ODONTOLÓGICO · PRÓTESE</w:t>
            </w:r>
          </w:p>
          <w:p>
            <w:pPr>
              <w:spacing w:after="200" w:line="276" w:lineRule="auto"/>
              <w:jc w:val="center"/>
            </w:pPr>
            <w:r>
              <w:rPr>
                <w:rFonts w:ascii="Garamond" w:hAnsi="Garamond"/>
                <w:color w:val="FFFFFF"/>
                <w:sz w:val="48"/>
              </w:rPr>
              <w:t>TCLE</w:t>
              <w:br/>
              <w:t>Prótese Dentária</w:t>
            </w:r>
          </w:p>
          <w:p>
            <w:pPr>
              <w:spacing w:after="400"/>
              <w:jc w:val="center"/>
            </w:pPr>
            <w:r>
              <w:rPr>
                <w:rFonts w:ascii="Garamond" w:hAnsi="Garamond"/>
                <w:i/>
                <w:color w:val="C8D4DC"/>
                <w:sz w:val="24"/>
              </w:rPr>
              <w:t>Termo de Consentimento Livre e Esclarecido — Modelo Editável</w:t>
            </w:r>
          </w:p>
          <w:p>
            <w:pPr>
              <w:jc w:val="center"/>
            </w:pPr>
            <w:r>
              <w:rPr>
                <w:color w:val="D4AF37"/>
                <w:sz w:val="18"/>
              </w:rPr>
              <w:t>◆ ◆ ◆</w:t>
            </w:r>
          </w:p>
          <w:p>
            <w:r>
              <w:rPr>
                <w:sz w:val="160"/>
              </w:rPr>
            </w:r>
          </w:p>
          <w:p>
            <w:pPr>
              <w:spacing w:after="40"/>
              <w:jc w:val="center"/>
            </w:pPr>
            <w:r>
              <w:rPr>
                <w:rFonts w:ascii="Georgia" w:hAnsi="Georgia"/>
                <w:b/>
                <w:color w:val="FFFFFF"/>
                <w:sz w:val="18"/>
              </w:rPr>
              <w:t>BELISÁRIO MACIEL ADVOGADOS</w:t>
            </w:r>
          </w:p>
          <w:p>
            <w:pPr>
              <w:jc w:val="center"/>
            </w:pPr>
            <w:r>
              <w:rPr>
                <w:rFonts w:ascii="Georgia" w:hAnsi="Georgia"/>
                <w:i/>
                <w:color w:val="C8D4DC"/>
                <w:sz w:val="16"/>
              </w:rPr>
              <w:t>belisario.com.br · São Paulo</w:t>
            </w:r>
          </w:p>
        </w:tc>
      </w:tr>
    </w:tbl>
    <w:p>
      <w:pPr>
        <w:sectPr>
          <w:pgSz w:w="12240" w:h="15840"/>
          <w:pgMar w:top="0" w:right="0" w:bottom="0" w:left="0" w:header="0" w:footer="0" w:gutter="0"/>
          <w:cols w:space="720"/>
          <w:docGrid w:linePitch="360"/>
        </w:sectPr>
      </w:pPr>
    </w:p>
    <w:p>
      <w:pPr>
        <w:spacing w:after="0"/>
      </w:pPr>
    </w:p>
    <w:p>
      <w:pPr>
        <w:spacing w:before="240" w:after="160"/>
        <w:pBdr>
          <w:bottom w:val="single" w:sz="4" w:space="4" w:color="D4AF37"/>
        </w:pBdr>
      </w:pPr>
      <w:r>
        <w:rPr>
          <w:rFonts w:ascii="Garamond" w:hAnsi="Garamond"/>
          <w:color w:val="093145"/>
          <w:sz w:val="36"/>
        </w:rPr>
        <w:t>Como usar este modelo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Este modelo é um TEMPLATE EDITÁVEL para reabilitações protéticas — prótese fixa unitária ou múltipla, prótese parcial removível (PPR), prótese total (PT) e overdenture. Atende exigências da Resolução CFO 118/2012. É obrigação do cirurgião-dentista responsável personalizar conforme caso clínico (tipo de prótese, dentes pilares, materiais utilizados, oclusão).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9066"/>
      </w:tblGrid>
      <w:tr>
        <w:tc>
          <w:tcPr>
            <w:tcW w:type="dxa" w:w="9066"/>
            <w:shd w:val="clear" w:color="auto" w:fill="F3EFEA"/>
            <w:tcBorders>
              <w:top w:val="nil"/>
              <w:bottom w:val="nil"/>
              <w:right w:val="nil"/>
              <w:left w:val="single" w:sz="24" w:color="9A2618"/>
            </w:tcBorders>
            <w:tcMar>
              <w:top w:w="200" w:type="dxa"/>
              <w:bottom w:w="200" w:type="dxa"/>
              <w:left w:w="300" w:type="dxa"/>
              <w:right w:w="300" w:type="dxa"/>
            </w:tcMar>
          </w:tcPr>
          <w:p>
            <w:r/>
            <w:r>
              <w:rPr>
                <w:rFonts w:ascii="Georgia" w:hAnsi="Georgia"/>
                <w:b/>
                <w:color w:val="9A2618"/>
                <w:sz w:val="18"/>
              </w:rPr>
              <w:t>PERSONALIZAÇÃO OBRIGATÓRIA</w:t>
            </w:r>
          </w:p>
          <w:p>
            <w:pPr>
              <w:spacing w:line="312" w:lineRule="auto"/>
            </w:pPr>
            <w:r>
              <w:rPr>
                <w:rFonts w:ascii="Georgia" w:hAnsi="Georgia"/>
                <w:color w:val="111111"/>
                <w:sz w:val="20"/>
              </w:rPr>
              <w:t>Os campos com [colchetes] devem ser preenchidos. Cada modalidade protética tem riscos e cuidados específicos. O modelo cobre os aspectos comuns; a redação final deve detalhar a prótese exata (PPR/PT/PF unitária/PF múltipla/overdenture sobre implantes), material (metal-cerâmica/cerâmica pura/zircônia/PMMA), dentes pilares envolvidos e plano de manutenção.</w:t>
            </w:r>
          </w:p>
        </w:tc>
      </w:tr>
    </w:tbl>
    <w:p>
      <w:pPr>
        <w:spacing w:after="80"/>
      </w:pPr>
    </w:p>
    <w:p>
      <w:pPr>
        <w:spacing w:before="240" w:after="240"/>
        <w:jc w:val="center"/>
      </w:pPr>
      <w:r>
        <w:rPr>
          <w:color w:val="D4AF37"/>
          <w:sz w:val="18"/>
        </w:rPr>
        <w:t>◆ ◆ ◆</w:t>
      </w:r>
    </w:p>
    <w:p>
      <w:pPr>
        <w:spacing w:after="0"/>
      </w:pPr>
    </w:p>
    <w:p>
      <w:pPr>
        <w:spacing w:before="240" w:after="160"/>
        <w:pBdr>
          <w:bottom w:val="single" w:sz="4" w:space="4" w:color="D4AF37"/>
        </w:pBdr>
      </w:pPr>
      <w:r>
        <w:rPr>
          <w:rFonts w:ascii="Garamond" w:hAnsi="Garamond"/>
          <w:color w:val="093145"/>
          <w:sz w:val="36"/>
        </w:rPr>
        <w:t>Termo de Consentimento Livre e Esclarecido — Prótese Dentária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1. Identificação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Paciente: [nome completo, CPF, RG, data de nascimento, endereço, telefone]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Profissional responsável: [nome completo, CRO/UF, especialidade em Prótese se houver]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Local: [endereço] · Data: ___/___/_______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2. Descrição técnica do procedimento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Será confeccionada [tipo de prótese — ex: prótese fixa unitária em metal-cerâmica sobre o dente 16; prótese parcial removível inferior com grampos; prótese total superior; coroa pura em zircônia sobre implante 36].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Material: [especificação técnica].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Dentes pilares envolvidos: [lista].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Etapas previstas: [moldagem, prova, instalação, ajustes].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Tempo estimado total: [duração]. Número de consultas: [n].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3. Indicação clínica específica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A indicação baseia-se em: [diagnóstico — perda dental, dente fragilizado, restaurações grandes fadigadas, demanda estética, reabilitação total]. Exames: [exame clínico, radiografia, modelos de estudo, exames complementares quando aplicável].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4. Alternativas terapêuticas avaliadas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[Implante dentário com coroa unitária — indicação preferencial em desdentado parcial]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[Prótese fixa convencional sobre dentes naturais — com desgaste de dentes adjacentes]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[Prótese parcial removível — alternativa de menor custo e maior reversibilidade]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[Prótese total convencional vs overdenture sobre implantes em desdentado total]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[Não tratamento — implicações funcionais, estéticas, periodontais e fonéticas]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5. Riscos típicos e atípicos</w:t>
      </w:r>
    </w:p>
    <w:p>
      <w:pPr>
        <w:keepNext/>
        <w:spacing w:before="200" w:after="40"/>
      </w:pPr>
      <w:r>
        <w:rPr>
          <w:rFonts w:ascii="Georgia" w:hAnsi="Georgia"/>
          <w:b/>
          <w:color w:val="9A2618"/>
          <w:sz w:val="21"/>
        </w:rPr>
        <w:t>Riscos típicos (mais frequentes)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Múltiplos ajustes oclusais nas primeiras semanas após instalação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Sensibilidade térmica em dentes pilares preparados (fixa) por algumas semanas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Adaptação fonética temporária (especialmente em PPR e PT)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Pontos de pressão dolorosos em prótese removível, demandando ajustes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Acúmulo de placa nas regiões de pilares e elementos protéticos com risco aumentado de cárie/periodontite se higiene for inadequada</w:t>
      </w:r>
    </w:p>
    <w:p>
      <w:pPr>
        <w:keepNext/>
        <w:spacing w:before="200" w:after="40"/>
      </w:pPr>
      <w:r>
        <w:rPr>
          <w:rFonts w:ascii="Georgia" w:hAnsi="Georgia"/>
          <w:b/>
          <w:color w:val="9A2618"/>
          <w:sz w:val="21"/>
        </w:rPr>
        <w:t>Riscos atípicos (menos frequentes, relevantes)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Necessidade de tratamento endodôntico em dente pilar de prótese fixa após o preparo (eventualmente)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Fratura de cerâmica/porcelana da prótese — especialmente sob bruxismo não controlado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Perda de retenção em prótese parcial removível ao longo do tempo, demandando reembasamento ou nova prótese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Reabsorção óssea progressiva sob prótese total — geralmente lenta, requer reembasamento periódico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Cárie em dente pilar de prótese fixa por falha de cimentação/higiene — pode comprometer a prótese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Periodontite peri-pilar em casos de higiene inadequada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Em prótese sobre implante: peri-implantite, perda de osseointegração ao longo do tempo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Necessidade de substituição da prótese periodicamente (PPR/PT cada 5-10 anos; PF 10-20 anos com manutenção)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9066"/>
      </w:tblGrid>
      <w:tr>
        <w:tc>
          <w:tcPr>
            <w:tcW w:type="dxa" w:w="9066"/>
            <w:shd w:val="clear" w:color="auto" w:fill="F3EFEA"/>
            <w:tcBorders>
              <w:top w:val="nil"/>
              <w:bottom w:val="nil"/>
              <w:right w:val="nil"/>
              <w:left w:val="single" w:sz="24" w:color="9A2618"/>
            </w:tcBorders>
            <w:tcMar>
              <w:top w:w="200" w:type="dxa"/>
              <w:bottom w:w="200" w:type="dxa"/>
              <w:left w:w="300" w:type="dxa"/>
              <w:right w:w="300" w:type="dxa"/>
            </w:tcMar>
          </w:tcPr>
          <w:p>
            <w:r/>
            <w:r>
              <w:rPr>
                <w:rFonts w:ascii="Georgia" w:hAnsi="Georgia"/>
                <w:b/>
                <w:color w:val="9A2618"/>
                <w:sz w:val="18"/>
              </w:rPr>
              <w:t>HÁBITOS PARAFUNCIONAIS</w:t>
            </w:r>
          </w:p>
          <w:p>
            <w:pPr>
              <w:spacing w:line="312" w:lineRule="auto"/>
            </w:pPr>
            <w:r>
              <w:rPr>
                <w:rFonts w:ascii="Georgia" w:hAnsi="Georgia"/>
                <w:color w:val="111111"/>
                <w:sz w:val="20"/>
              </w:rPr>
              <w:t>Bruxismo, apertamento e onicofagia REDUZEM significativamente a longevidade de qualquer prótese. Pacientes com tais hábitos serão orientados a uso de placa de proteção oclusal, cuja não adesão pode gerar fraturas precoces que NÃO são cobertas por garantia.</w:t>
            </w:r>
          </w:p>
        </w:tc>
      </w:tr>
    </w:tbl>
    <w:p>
      <w:pPr>
        <w:spacing w:after="80"/>
      </w:pP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6. Cuidados durante o tratamento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Comparecer pontualmente a todas as etapas (moldagem, prova, instalação)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Usar prótese provisória conforme orientação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Higienizar a região cuidadosamente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Comunicar imediatamente quebras ou perda da prótese provisória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7. Cuidados pós-instalação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Higiene rigorosa: escovação após cada refeição, fio dental ou escova interdental, irrigador oral quando indicado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Em prótese removível: remover, escovar com escova específica e sabão neutro após refeições; deixar fora da boca durante a noite imersa em solução de higiene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Comparecer a consultas de manutenção [periodicidade — semestral/anual]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Não morder objetos duros (gelo, canetas, lápis)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Em caso de bruxismo: usar placa oclusal noturna conforme prescrição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Comunicar imediatamente fraturas, perda de retenção, dor persistente ou alterações na prótese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8. Variabilidade de resultado — obrigação de meio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9066"/>
      </w:tblGrid>
      <w:tr>
        <w:tc>
          <w:tcPr>
            <w:tcW w:type="dxa" w:w="9066"/>
            <w:shd w:val="clear" w:color="auto" w:fill="F3EFEA"/>
            <w:tcBorders>
              <w:top w:val="nil"/>
              <w:bottom w:val="nil"/>
              <w:right w:val="nil"/>
              <w:left w:val="single" w:sz="24" w:color="9A2618"/>
            </w:tcBorders>
            <w:tcMar>
              <w:top w:w="200" w:type="dxa"/>
              <w:bottom w:w="200" w:type="dxa"/>
              <w:left w:w="300" w:type="dxa"/>
              <w:right w:w="300" w:type="dxa"/>
            </w:tcMar>
          </w:tcPr>
          <w:p>
            <w:r/>
            <w:r>
              <w:rPr>
                <w:rFonts w:ascii="Georgia" w:hAnsi="Georgia"/>
                <w:b/>
                <w:color w:val="9A2618"/>
                <w:sz w:val="18"/>
              </w:rPr>
              <w:t>CONSENTIMENTO SOBRE OBRIGAÇÃO DE MEIO</w:t>
            </w:r>
          </w:p>
          <w:p>
            <w:pPr>
              <w:spacing w:line="312" w:lineRule="auto"/>
            </w:pPr>
            <w:r>
              <w:rPr>
                <w:rFonts w:ascii="Georgia" w:hAnsi="Georgia"/>
                <w:color w:val="111111"/>
                <w:sz w:val="20"/>
              </w:rPr>
              <w:t>A Prótese Dentária é OBRIGAÇÃO DE MEIO — o profissional compromete-se a aplicar técnica diligente conforme estado da arte, mas NÃO GARANTE longevidade indefinida nem ausência total de complicações. A vida útil depende de fatores biológicos (saúde dos pilares, qualidade óssea), comportamentais (higiene, hábitos parafuncionais, dieta) e ambientais. Próteses exigem manutenção periódica e podem requerer substituição ao longo do tempo. Pequenos desconfortos ou ajustes nas primeiras semanas são esperados e fazem parte do processo natural de adaptação.</w:t>
            </w:r>
          </w:p>
        </w:tc>
      </w:tr>
    </w:tbl>
    <w:p>
      <w:pPr>
        <w:spacing w:after="80"/>
      </w:pP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9. Direito de revogação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O paciente declara estar ciente de que pode revogar este consentimento antes de etapas irreversíveis (preparo dental para prótese fixa, exodontia para prótese total). Após o preparo, a interrupção implica em comprometimento do dente preparado, exigindo conduta alternativa (provisório de longa duração, restauração extensa, exodontia).</w:t>
      </w:r>
    </w:p>
    <w:p>
      <w:pPr>
        <w:spacing w:before="240" w:after="240"/>
        <w:jc w:val="center"/>
      </w:pPr>
      <w:r>
        <w:rPr>
          <w:color w:val="D4AF37"/>
          <w:sz w:val="18"/>
        </w:rPr>
        <w:t>◆ ◆ ◆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Tratamento de dados pessoais (LGPD)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Conforme Lei 13.709/2018. Arquivamento pelo prazo mínimo legal (20 anos).</w:t>
      </w:r>
    </w:p>
    <w:p>
      <w:pPr>
        <w:spacing w:before="240" w:after="240"/>
        <w:jc w:val="center"/>
      </w:pPr>
      <w:r>
        <w:rPr>
          <w:color w:val="D4AF37"/>
          <w:sz w:val="18"/>
        </w:rPr>
        <w:t>◆ ◆ ◆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Declaração final e assinaturas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Declaro que li integralmente este Termo, compreendo a natureza do procedimento, alternativas, riscos, cuidados, importância da minha higiene oral, do controle de hábitos parafuncionais e das consultas de manutenção, e CONSINTO LIVRE E ESCLARECIDAMENTE com a realização do tratamento.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br/>
        <w:t>_________________________________________________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Paciente (ou responsável legal): [nome] — CPF: [_______] · Data: ___/___/_______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br/>
        <w:t>_________________________________________________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Profissional responsável: [nome] — CRO/UF [_______] · Data: ___/___/_______</w:t>
      </w:r>
    </w:p>
    <w:p>
      <w:pPr>
        <w:spacing w:before="240" w:after="240"/>
        <w:jc w:val="center"/>
      </w:pPr>
      <w:r>
        <w:rPr>
          <w:color w:val="D4AF37"/>
          <w:sz w:val="18"/>
        </w:rPr>
        <w:t>◆ ◆ ◆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Quem está por trás deste material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252"/>
        <w:gridCol w:w="4252"/>
      </w:tblGrid>
      <w:tr>
        <w:tc>
          <w:tcPr>
            <w:tcW w:type="dxa" w:w="4533"/>
            <w:shd w:val="clear" w:color="auto" w:fill="F3EFE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tcMar>
              <w:top w:w="240" w:type="dxa"/>
              <w:bottom w:w="240" w:type="dxa"/>
              <w:left w:w="320" w:type="dxa"/>
              <w:right w:w="320" w:type="dxa"/>
            </w:tcMar>
          </w:tcPr>
          <w:p>
            <w:r/>
            <w:r>
              <w:rPr>
                <w:rFonts w:ascii="Georgia" w:hAnsi="Georgia"/>
                <w:b/>
                <w:color w:val="9A2618"/>
                <w:sz w:val="17"/>
              </w:rPr>
              <w:t>ELABORAÇÃO JURÍDICA</w:t>
            </w:r>
          </w:p>
          <w:p>
            <w:r>
              <w:rPr>
                <w:rFonts w:ascii="Garamond" w:hAnsi="Garamond"/>
                <w:b/>
                <w:color w:val="093145"/>
                <w:sz w:val="24"/>
              </w:rPr>
              <w:t>Dr. Luiggi Belisário · OAB/SP 513.090</w:t>
            </w:r>
          </w:p>
          <w:p>
            <w:r>
              <w:rPr>
                <w:rFonts w:ascii="Georgia" w:hAnsi="Georgia"/>
                <w:color w:val="111111"/>
                <w:sz w:val="18"/>
              </w:rPr>
              <w:t>Sócio-fundador · Belisário Maciel Advogados</w:t>
              <w:br/>
              <w:t>Direito Médico e Odontológico</w:t>
            </w:r>
          </w:p>
        </w:tc>
        <w:tc>
          <w:tcPr>
            <w:tcW w:type="dxa" w:w="4533"/>
            <w:shd w:val="clear" w:color="auto" w:fill="F3EFE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tcMar>
              <w:top w:w="240" w:type="dxa"/>
              <w:bottom w:w="240" w:type="dxa"/>
              <w:left w:w="320" w:type="dxa"/>
              <w:right w:w="320" w:type="dxa"/>
            </w:tcMar>
          </w:tcPr>
          <w:p>
            <w:r/>
            <w:r>
              <w:rPr>
                <w:rFonts w:ascii="Georgia" w:hAnsi="Georgia"/>
                <w:b/>
                <w:color w:val="9A2618"/>
                <w:sz w:val="17"/>
              </w:rPr>
              <w:t>VALIDAÇÃO TÉCNICA ODONTOLÓGICA</w:t>
            </w:r>
          </w:p>
          <w:p>
            <w:r>
              <w:rPr>
                <w:rFonts w:ascii="Garamond" w:hAnsi="Garamond"/>
                <w:b/>
                <w:color w:val="093145"/>
                <w:sz w:val="24"/>
              </w:rPr>
              <w:t>Dra. Bianca Stéfann Sousa Chagas</w:t>
            </w:r>
          </w:p>
          <w:p>
            <w:r>
              <w:rPr>
                <w:rFonts w:ascii="Georgia" w:hAnsi="Georgia"/>
                <w:color w:val="111111"/>
                <w:sz w:val="18"/>
              </w:rPr>
              <w:t>CRO/SP 152329</w:t>
              <w:br/>
              <w:t>Validação técnica odontológica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9066"/>
      </w:tblGrid>
      <w:tr>
        <w:tc>
          <w:tcPr>
            <w:tcW w:type="dxa" w:w="9066"/>
            <w:shd w:val="clear" w:color="auto" w:fill="F3EFEA"/>
            <w:tcBorders>
              <w:top w:val="nil"/>
              <w:bottom w:val="nil"/>
              <w:right w:val="nil"/>
              <w:left w:val="single" w:sz="24" w:color="9A2618"/>
            </w:tcBorders>
            <w:tcMar>
              <w:top w:w="200" w:type="dxa"/>
              <w:bottom w:w="200" w:type="dxa"/>
              <w:left w:w="300" w:type="dxa"/>
              <w:right w:w="300" w:type="dxa"/>
            </w:tcMar>
          </w:tcPr>
          <w:p>
            <w:r/>
            <w:r>
              <w:rPr>
                <w:rFonts w:ascii="Georgia" w:hAnsi="Georgia"/>
                <w:b/>
                <w:color w:val="9A2618"/>
                <w:sz w:val="18"/>
              </w:rPr>
              <w:t>AVISO DE RESPONSABILIDADE</w:t>
            </w:r>
          </w:p>
          <w:p>
            <w:pPr>
              <w:spacing w:line="312" w:lineRule="auto"/>
            </w:pPr>
            <w:r>
              <w:rPr>
                <w:rFonts w:ascii="Georgia" w:hAnsi="Georgia"/>
                <w:color w:val="111111"/>
                <w:sz w:val="20"/>
              </w:rPr>
              <w:t>A elaboração jurídica e a responsabilidade contratual permanecem com o Belisário Maciel Advogados. Os modelos são templates educativos e devem ser personalizados pelo cirurgião-dentista responsável conforme caso clínico, técnica empregada e perfil do paciente. A revisão técnica abrange a adequação dos riscos clínicos e cuidados gerais à literatura e diretrizes da especialidade — não substitui análise individualizada de cada caso pelo profissional responsável.</w:t>
            </w:r>
          </w:p>
        </w:tc>
      </w:tr>
    </w:tbl>
    <w:p>
      <w:pPr>
        <w:spacing w:after="80"/>
      </w:pPr>
    </w:p>
    <w:p>
      <w:pPr>
        <w:spacing w:before="240" w:after="240"/>
        <w:jc w:val="center"/>
      </w:pPr>
      <w:r>
        <w:rPr>
          <w:color w:val="D4AF37"/>
          <w:sz w:val="18"/>
        </w:rPr>
        <w:t>◆ ◆ ◆</w:t>
      </w:r>
    </w:p>
    <w:p>
      <w:pPr>
        <w:jc w:val="center"/>
      </w:pPr>
      <w:r>
        <w:rPr>
          <w:rFonts w:ascii="Georgia" w:hAnsi="Georgia"/>
          <w:b/>
          <w:color w:val="093145"/>
          <w:sz w:val="20"/>
        </w:rPr>
        <w:t>BELISÁRIO MACIEL ADVOGADOS</w:t>
      </w:r>
    </w:p>
    <w:p>
      <w:pPr>
        <w:jc w:val="center"/>
      </w:pPr>
      <w:r>
        <w:rPr>
          <w:rFonts w:ascii="Georgia" w:hAnsi="Georgia"/>
          <w:i/>
          <w:color w:val="5A6470"/>
          <w:sz w:val="17"/>
        </w:rPr>
        <w:t>Direito Médico e Odontológico · São Paulo · belisario.com.br</w:t>
      </w:r>
    </w:p>
    <w:p>
      <w:pPr>
        <w:jc w:val="center"/>
      </w:pPr>
      <w:r>
        <w:rPr>
          <w:rFonts w:ascii="Georgia" w:hAnsi="Georgia"/>
          <w:color w:val="5A6470"/>
          <w:sz w:val="15"/>
        </w:rPr>
        <w:t>Documento versão 1.0 · May de 2026</w:t>
        <w:br/>
        <w:t>Este material é educativo e não substitui consultoria jurídica individualizada.</w:t>
      </w:r>
    </w:p>
    <w:sectPr w:rsidR="00FC693F" w:rsidRPr="0006063C" w:rsidSect="00034616">
      <w:headerReference w:type="default" r:id="rId10"/>
      <w:footerReference w:type="default" r:id="rId11"/>
      <w:pgSz w:w="12240" w:h="15840"/>
      <w:pgMar w:top="1474" w:right="1587" w:bottom="1474" w:left="1587" w:header="680" w:footer="68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</w:p>
  <w:tbl>
    <w:tblPr>
      <w:tblW w:type="auto" w:w="0"/>
      <w:tblLayout w:type="fixed"/>
      <w:tblLook w:firstColumn="1" w:firstRow="1" w:lastColumn="0" w:lastRow="0" w:noHBand="0" w:noVBand="1" w:val="04A0"/>
    </w:tblPr>
    <w:tblGrid>
      <w:gridCol w:w="3402"/>
      <w:gridCol w:w="2268"/>
      <w:gridCol w:w="3402"/>
    </w:tblGrid>
    <w:tr>
      <w:tc>
        <w:tcPr>
          <w:tcW w:type="dxa" w:w="3024"/>
          <w:tcBorders>
            <w:top w:val="nil"/>
            <w:left w:val="nil"/>
            <w:bottom w:val="nil"/>
            <w:right w:val="nil"/>
            <w:insideH w:val="nil"/>
            <w:insideV w:val="nil"/>
          </w:tcBorders>
        </w:tcPr>
        <w:p>
          <w:pPr>
            <w:jc w:val="left"/>
          </w:pPr>
          <w:r>
            <w:rPr>
              <w:rFonts w:ascii="Georgia" w:hAnsi="Georgia"/>
              <w:color w:val="5A6470"/>
              <w:sz w:val="16"/>
            </w:rPr>
            <w:t>Belisário Maciel Advogados</w:t>
          </w:r>
        </w:p>
      </w:tc>
      <w:tc>
        <w:tcPr>
          <w:tcW w:type="dxa" w:w="3024"/>
          <w:tcBorders>
            <w:top w:val="nil"/>
            <w:left w:val="nil"/>
            <w:bottom w:val="nil"/>
            <w:right w:val="nil"/>
            <w:insideH w:val="nil"/>
            <w:insideV w:val="nil"/>
          </w:tcBorders>
        </w:tcPr>
        <w:p>
          <w:pPr>
            <w:jc w:val="center"/>
          </w:pPr>
          <w:r>
            <w:rPr>
              <w:color w:val="D4AF37"/>
              <w:sz w:val="16"/>
            </w:rPr>
            <w:t>◆</w:t>
          </w:r>
        </w:p>
      </w:tc>
      <w:tc>
        <w:tcPr>
          <w:tcW w:type="dxa" w:w="3024"/>
          <w:tcBorders>
            <w:top w:val="nil"/>
            <w:left w:val="nil"/>
            <w:bottom w:val="nil"/>
            <w:right w:val="nil"/>
            <w:insideH w:val="nil"/>
            <w:insideV w:val="nil"/>
          </w:tcBorders>
        </w:tcPr>
        <w:p>
          <w:pPr>
            <w:jc w:val="right"/>
          </w:pPr>
          <w:r>
            <w:rPr>
              <w:rFonts w:ascii="Georgia" w:hAnsi="Georgia"/>
              <w:color w:val="5A6470"/>
              <w:sz w:val="16"/>
            </w:rPr>
            <w:t xml:space="preserve">Página </w:t>
          </w:r>
          <w:r>
            <w:rPr>
              <w:rFonts w:ascii="Georgia" w:hAnsi="Georgia"/>
              <w:color w:val="5A6470"/>
              <w:sz w:val="16"/>
            </w:rPr>
            <w:fldChar w:fldCharType="begin"/>
            <w:instrText xml:space="preserve"> PAGE </w:instrText>
            <w:fldChar w:fldCharType="end"/>
          </w:r>
        </w:p>
      </w:tc>
    </w:tr>
  </w:tbl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</w:p>
  <w:tbl>
    <w:tblPr>
      <w:tblW w:type="auto" w:w="0"/>
      <w:tblLayout w:type="fixed"/>
      <w:tblLook w:firstColumn="1" w:firstRow="1" w:lastColumn="0" w:lastRow="0" w:noHBand="0" w:noVBand="1" w:val="04A0"/>
    </w:tblPr>
    <w:tblGrid>
      <w:gridCol w:w="4535"/>
      <w:gridCol w:w="4535"/>
    </w:tblGrid>
    <w:tr>
      <w:tc>
        <w:tcPr>
          <w:tcW w:type="dxa" w:w="4535"/>
          <w:tcBorders>
            <w:top w:val="nil"/>
            <w:left w:val="nil"/>
            <w:bottom w:val="nil"/>
            <w:right w:val="nil"/>
            <w:insideH w:val="nil"/>
            <w:insideV w:val="nil"/>
          </w:tcBorders>
        </w:tcPr>
        <w:p>
          <w:pPr>
            <w:jc w:val="left"/>
          </w:pPr>
          <w:r>
            <w:drawing>
              <wp:inline xmlns:a="http://schemas.openxmlformats.org/drawingml/2006/main" xmlns:pic="http://schemas.openxmlformats.org/drawingml/2006/picture">
                <wp:extent cx="1152000" cy="174960"/>
                <wp:docPr id="1" name="Picture 1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logo-belisario-principal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52000" cy="174960"/>
                        </a:xfrm>
                        <a:prstGeom prst="rect"/>
                      </pic:spPr>
                    </pic:pic>
                  </a:graphicData>
                </a:graphic>
              </wp:inline>
            </w:drawing>
          </w:r>
        </w:p>
      </w:tc>
      <w:tc>
        <w:tcPr>
          <w:tcW w:type="dxa" w:w="4535"/>
          <w:tcBorders>
            <w:top w:val="nil"/>
            <w:left w:val="nil"/>
            <w:bottom w:val="nil"/>
            <w:right w:val="nil"/>
            <w:insideH w:val="nil"/>
            <w:insideV w:val="nil"/>
          </w:tcBorders>
        </w:tcPr>
        <w:p>
          <w:pPr>
            <w:jc w:val="right"/>
          </w:pPr>
          <w:r>
            <w:rPr>
              <w:rFonts w:ascii="Georgia" w:hAnsi="Georgia"/>
              <w:i/>
              <w:color w:val="5A6470"/>
              <w:sz w:val="16"/>
            </w:rPr>
            <w:t>TCLE Prótese Dentária</w:t>
          </w:r>
        </w:p>
      </w:tc>
    </w:tr>
  </w:tbl>
  <w:p>
    <w:pPr>
      <w:pBdr>
        <w:bottom w:val="single" w:sz="4" w:space="4" w:color="D4AF37"/>
      </w:pBd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orgia" w:hAnsi="Georgia"/>
      <w:color w:val="111111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header" Target="header1.xml"/><Relationship Id="rId11" Type="http://schemas.openxmlformats.org/officeDocument/2006/relationships/footer" Target="footer1.xml"/></Relationships>
</file>

<file path=word/_rels/header1.xml.rels><?xml version='1.0' encoding='UTF-8' standalone='yes'?>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