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left"/>
        <w:tblLayout w:type="fixed"/>
        <w:tblLook w:firstColumn="1" w:firstRow="1" w:lastColumn="0" w:lastRow="0" w:noHBand="0" w:noVBand="1" w:val="04A0"/>
      </w:tblPr>
      <w:tblGrid>
        <w:gridCol w:w="12240"/>
      </w:tblGrid>
      <w:tr>
        <w:trPr>
          <w:trHeight w:val="16839" w:hRule="atLeast"/>
        </w:trPr>
        <w:tc>
          <w:tcPr>
            <w:tcW w:type="dxa" w:w="12240"/>
            <w:shd w:val="clear" w:color="auto" w:fill="093145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tcMar>
              <w:top w:w="2400" w:type="dxa"/>
              <w:bottom w:w="900" w:type="dxa"/>
              <w:left w:w="900" w:type="dxa"/>
              <w:right w:w="900" w:type="dxa"/>
            </w:tcMar>
            <w:vAlign w:val="top"/>
          </w:tcPr>
          <w:p>
            <w:pPr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980000" cy="300712"/>
                  <wp:docPr id="1" name="Picture 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logo-belisario-principal.png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0000" cy="300712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r>
              <w:rPr>
                <w:sz w:val="60"/>
              </w:rPr>
            </w:r>
          </w:p>
          <w:p>
            <w:pPr>
              <w:spacing w:after="280"/>
              <w:jc w:val="center"/>
            </w:pPr>
            <w:r>
              <w:rPr>
                <w:rFonts w:ascii="Georgia" w:hAnsi="Georgia"/>
                <w:b/>
                <w:color w:val="C8D4DC"/>
                <w:sz w:val="18"/>
              </w:rPr>
              <w:t>BANCO DE TCLE ODONTOLÓGICO · ORTODONTIA</w:t>
            </w:r>
          </w:p>
          <w:p>
            <w:pPr>
              <w:spacing w:after="200" w:line="276" w:lineRule="auto"/>
              <w:jc w:val="center"/>
            </w:pPr>
            <w:r>
              <w:rPr>
                <w:rFonts w:ascii="Garamond" w:hAnsi="Garamond"/>
                <w:color w:val="FFFFFF"/>
                <w:sz w:val="48"/>
              </w:rPr>
              <w:t>TCLE</w:t>
              <w:br/>
              <w:t>Ortodontia</w:t>
            </w:r>
          </w:p>
          <w:p>
            <w:pPr>
              <w:spacing w:after="400"/>
              <w:jc w:val="center"/>
            </w:pPr>
            <w:r>
              <w:rPr>
                <w:rFonts w:ascii="Garamond" w:hAnsi="Garamond"/>
                <w:i/>
                <w:color w:val="C8D4DC"/>
                <w:sz w:val="24"/>
              </w:rPr>
              <w:t>Termo de Consentimento Livre e Esclarecido — Modelo Editável</w:t>
            </w:r>
          </w:p>
          <w:p>
            <w:pPr>
              <w:jc w:val="center"/>
            </w:pPr>
            <w:r>
              <w:rPr>
                <w:color w:val="D4AF37"/>
                <w:sz w:val="18"/>
              </w:rPr>
              <w:t>◆ ◆ ◆</w:t>
            </w:r>
          </w:p>
          <w:p>
            <w:r>
              <w:rPr>
                <w:sz w:val="160"/>
              </w:rPr>
            </w:r>
          </w:p>
          <w:p>
            <w:pPr>
              <w:spacing w:after="40"/>
              <w:jc w:val="center"/>
            </w:pPr>
            <w:r>
              <w:rPr>
                <w:rFonts w:ascii="Georgia" w:hAnsi="Georgia"/>
                <w:b/>
                <w:color w:val="FFFFFF"/>
                <w:sz w:val="18"/>
              </w:rPr>
              <w:t>BELISÁRIO MACIEL ADVOGADOS</w:t>
            </w:r>
          </w:p>
          <w:p>
            <w:pPr>
              <w:jc w:val="center"/>
            </w:pPr>
            <w:r>
              <w:rPr>
                <w:rFonts w:ascii="Georgia" w:hAnsi="Georgia"/>
                <w:i/>
                <w:color w:val="C8D4DC"/>
                <w:sz w:val="16"/>
              </w:rPr>
              <w:t>belisario.com.br · São Paulo</w:t>
            </w:r>
          </w:p>
        </w:tc>
      </w:tr>
    </w:tbl>
    <w:p>
      <w:pPr>
        <w:sectPr>
          <w:pgSz w:w="12240" w:h="15840"/>
          <w:pgMar w:top="0" w:right="0" w:bottom="0" w:left="0" w:header="0" w:footer="0" w:gutter="0"/>
          <w:cols w:space="720"/>
          <w:docGrid w:linePitch="360"/>
        </w:sectPr>
      </w:pPr>
    </w:p>
    <w:p>
      <w:pPr>
        <w:spacing w:after="0"/>
      </w:pPr>
    </w:p>
    <w:p>
      <w:pPr>
        <w:spacing w:before="240" w:after="160"/>
        <w:pBdr>
          <w:bottom w:val="single" w:sz="4" w:space="4" w:color="D4AF37"/>
        </w:pBdr>
      </w:pPr>
      <w:r>
        <w:rPr>
          <w:rFonts w:ascii="Garamond" w:hAnsi="Garamond"/>
          <w:color w:val="093145"/>
          <w:sz w:val="36"/>
        </w:rPr>
        <w:t>Como usar este modelo</w:t>
      </w:r>
    </w:p>
    <w:p>
      <w:pPr>
        <w:spacing w:lineRule="auto" w:line="324" w:after="120"/>
        <w:jc w:val="both"/>
      </w:pPr>
      <w:r>
        <w:rPr>
          <w:rFonts w:ascii="Georgia" w:hAnsi="Georgia"/>
          <w:i w:val="0"/>
          <w:sz w:val="21"/>
        </w:rPr>
        <w:t>Este modelo é um TEMPLATE EDITÁVEL para tratamento ortodôntico — aparelho fixo, removível ou alinhadores transparentes. Atende exigências da Resolução CFO 118/2012 e, no caso de alinhadores com qualquer modalidade de acompanhamento remoto, da Resolução CFO 226/2020 (teledentologia).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9066"/>
      </w:tblGrid>
      <w:tr>
        <w:tc>
          <w:tcPr>
            <w:tcW w:type="dxa" w:w="9066"/>
            <w:shd w:val="clear" w:color="auto" w:fill="F3EFEA"/>
            <w:tcBorders>
              <w:top w:val="nil"/>
              <w:bottom w:val="nil"/>
              <w:right w:val="nil"/>
              <w:left w:val="single" w:sz="24" w:color="9A2618"/>
            </w:tcBorders>
            <w:tcMar>
              <w:top w:w="200" w:type="dxa"/>
              <w:bottom w:w="200" w:type="dxa"/>
              <w:left w:w="300" w:type="dxa"/>
              <w:right w:w="300" w:type="dxa"/>
            </w:tcMar>
          </w:tcPr>
          <w:p>
            <w:r/>
            <w:r>
              <w:rPr>
                <w:rFonts w:ascii="Georgia" w:hAnsi="Georgia"/>
                <w:b/>
                <w:color w:val="9A2618"/>
                <w:sz w:val="18"/>
              </w:rPr>
              <w:t>IMPORTANTE — ALINHADORES TRANSPARENTES E RES. CFO 226/2020</w:t>
            </w:r>
          </w:p>
          <w:p>
            <w:pPr>
              <w:spacing w:line="312" w:lineRule="auto"/>
            </w:pPr>
            <w:r>
              <w:rPr>
                <w:rFonts w:ascii="Georgia" w:hAnsi="Georgia"/>
                <w:color w:val="111111"/>
                <w:sz w:val="20"/>
              </w:rPr>
              <w:t>A modalidade de tratamento ortodôntico com alinhadores transparentes EXIGE exame clínico presencial completo, planejamento individualizado e acompanhamento periódico presencial. Plataformas que oferecem tratamento integralmente à distância sem exame presencial não são compatíveis com a Res. CFO 226/2020 e expõem o profissional a infrações ético-disciplinares. Telemonitoramento entre consultas presenciais é permitido com TCLE específico (este modelo).</w:t>
            </w:r>
          </w:p>
        </w:tc>
      </w:tr>
    </w:tbl>
    <w:p>
      <w:pPr>
        <w:spacing w:after="80"/>
      </w:pPr>
    </w:p>
    <w:p>
      <w:pPr>
        <w:spacing w:before="240" w:after="240"/>
        <w:jc w:val="center"/>
      </w:pPr>
      <w:r>
        <w:rPr>
          <w:color w:val="D4AF37"/>
          <w:sz w:val="18"/>
        </w:rPr>
        <w:t>◆ ◆ ◆</w:t>
      </w:r>
    </w:p>
    <w:p>
      <w:pPr>
        <w:spacing w:after="0"/>
      </w:pPr>
    </w:p>
    <w:p>
      <w:pPr>
        <w:spacing w:before="240" w:after="160"/>
        <w:pBdr>
          <w:bottom w:val="single" w:sz="4" w:space="4" w:color="D4AF37"/>
        </w:pBdr>
      </w:pPr>
      <w:r>
        <w:rPr>
          <w:rFonts w:ascii="Garamond" w:hAnsi="Garamond"/>
          <w:color w:val="093145"/>
          <w:sz w:val="36"/>
        </w:rPr>
        <w:t>Termo de Consentimento Livre e Esclarecido — Ortodontia</w:t>
      </w:r>
    </w:p>
    <w:p>
      <w:pPr>
        <w:keepNext/>
        <w:spacing w:before="280" w:after="80"/>
      </w:pPr>
      <w:r>
        <w:rPr>
          <w:rFonts w:ascii="Garamond" w:hAnsi="Garamond"/>
          <w:b/>
          <w:color w:val="093145"/>
          <w:sz w:val="28"/>
        </w:rPr>
        <w:t>1. Identificação</w:t>
      </w:r>
    </w:p>
    <w:p>
      <w:pPr>
        <w:spacing w:lineRule="auto" w:line="324" w:after="120"/>
        <w:jc w:val="both"/>
      </w:pPr>
      <w:r>
        <w:rPr>
          <w:rFonts w:ascii="Georgia" w:hAnsi="Georgia"/>
          <w:i w:val="0"/>
          <w:sz w:val="21"/>
        </w:rPr>
        <w:t>Paciente: [nome completo, CPF, RG, data de nascimento, endereço, telefone]</w:t>
      </w:r>
    </w:p>
    <w:p>
      <w:pPr>
        <w:spacing w:lineRule="auto" w:line="324" w:after="120"/>
        <w:jc w:val="both"/>
      </w:pPr>
      <w:r>
        <w:rPr>
          <w:rFonts w:ascii="Georgia" w:hAnsi="Georgia"/>
          <w:i w:val="0"/>
          <w:sz w:val="21"/>
        </w:rPr>
        <w:t>Responsável legal (quando aplicável): [nome completo, CPF, parentesco]</w:t>
      </w:r>
    </w:p>
    <w:p>
      <w:pPr>
        <w:spacing w:lineRule="auto" w:line="324" w:after="120"/>
        <w:jc w:val="both"/>
      </w:pPr>
      <w:r>
        <w:rPr>
          <w:rFonts w:ascii="Georgia" w:hAnsi="Georgia"/>
          <w:i w:val="0"/>
          <w:sz w:val="21"/>
        </w:rPr>
        <w:t>Profissional responsável: [nome completo, CRO/UF, especialidade em Ortodontia se houver]</w:t>
      </w:r>
    </w:p>
    <w:p>
      <w:pPr>
        <w:spacing w:lineRule="auto" w:line="324" w:after="120"/>
        <w:jc w:val="both"/>
      </w:pPr>
      <w:r>
        <w:rPr>
          <w:rFonts w:ascii="Georgia" w:hAnsi="Georgia"/>
          <w:i w:val="0"/>
          <w:sz w:val="21"/>
        </w:rPr>
        <w:t>Local: [endereço da clínica/consultório] · Data: ___/___/_______</w:t>
      </w:r>
    </w:p>
    <w:p>
      <w:pPr>
        <w:keepNext/>
        <w:spacing w:before="280" w:after="80"/>
      </w:pPr>
      <w:r>
        <w:rPr>
          <w:rFonts w:ascii="Garamond" w:hAnsi="Garamond"/>
          <w:b/>
          <w:color w:val="093145"/>
          <w:sz w:val="28"/>
        </w:rPr>
        <w:t>2. Descrição técnica do procedimento</w:t>
      </w:r>
    </w:p>
    <w:p>
      <w:pPr>
        <w:spacing w:lineRule="auto" w:line="324" w:after="120"/>
        <w:jc w:val="both"/>
      </w:pPr>
      <w:r>
        <w:rPr>
          <w:rFonts w:ascii="Georgia" w:hAnsi="Georgia"/>
          <w:i w:val="0"/>
          <w:sz w:val="21"/>
        </w:rPr>
        <w:t>Será realizado tratamento ortodôntico com [aparelho fixo metálico / aparelho fixo estético (cerâmica) / aparelho removível / alinhadores transparentes / aparelho ortopédico] para [objetivo do tratamento — alinhamento, correção de mordida cruzada/aberta/profunda, fechamento de espaços, distalização, expansão, etc].</w:t>
      </w:r>
    </w:p>
    <w:p>
      <w:pPr>
        <w:spacing w:lineRule="auto" w:line="324" w:after="120"/>
        <w:jc w:val="both"/>
      </w:pPr>
      <w:r>
        <w:rPr>
          <w:rFonts w:ascii="Georgia" w:hAnsi="Georgia"/>
          <w:i w:val="0"/>
          <w:sz w:val="21"/>
        </w:rPr>
        <w:t>Tempo estimado de tratamento ativo: [meses/anos] — sujeito a variações conforme cooperação e resposta biológica.</w:t>
      </w:r>
    </w:p>
    <w:p>
      <w:pPr>
        <w:spacing w:lineRule="auto" w:line="324" w:after="120"/>
        <w:jc w:val="both"/>
      </w:pPr>
      <w:r>
        <w:rPr>
          <w:rFonts w:ascii="Georgia" w:hAnsi="Georgia"/>
          <w:i w:val="0"/>
          <w:sz w:val="21"/>
        </w:rPr>
        <w:t>Frequência de consultas: [periodicidade].</w:t>
      </w:r>
    </w:p>
    <w:p>
      <w:pPr>
        <w:spacing w:lineRule="auto" w:line="324" w:after="120"/>
        <w:jc w:val="both"/>
      </w:pPr>
      <w:r>
        <w:rPr>
          <w:rFonts w:ascii="Georgia" w:hAnsi="Georgia"/>
          <w:i w:val="0"/>
          <w:sz w:val="21"/>
        </w:rPr>
        <w:t>Necessidade de exodontias prévias: [sim/não — quais dentes, justificativa].</w:t>
      </w:r>
    </w:p>
    <w:p>
      <w:pPr>
        <w:spacing w:lineRule="auto" w:line="324" w:after="120"/>
        <w:jc w:val="both"/>
      </w:pPr>
      <w:r>
        <w:rPr>
          <w:rFonts w:ascii="Georgia" w:hAnsi="Georgia"/>
          <w:i w:val="0"/>
          <w:sz w:val="21"/>
        </w:rPr>
        <w:t>Plano de contenção pós-tratamento: [tipo e duração].</w:t>
      </w:r>
    </w:p>
    <w:p>
      <w:pPr>
        <w:keepNext/>
        <w:spacing w:before="280" w:after="80"/>
      </w:pPr>
      <w:r>
        <w:rPr>
          <w:rFonts w:ascii="Garamond" w:hAnsi="Garamond"/>
          <w:b/>
          <w:color w:val="093145"/>
          <w:sz w:val="28"/>
        </w:rPr>
        <w:t>3. Indicação clínica específica</w:t>
      </w:r>
    </w:p>
    <w:p>
      <w:pPr>
        <w:spacing w:lineRule="auto" w:line="324" w:after="120"/>
        <w:jc w:val="both"/>
      </w:pPr>
      <w:r>
        <w:rPr>
          <w:rFonts w:ascii="Georgia" w:hAnsi="Georgia"/>
          <w:i w:val="0"/>
          <w:sz w:val="21"/>
        </w:rPr>
        <w:t>A indicação do tratamento ortodôntico baseia-se em: [diagnóstico — má oclusão Classe I/II/III, apinhamento, mordida aberta/cruzada, problemas funcionais, estéticos, periodontais]. Exames: [documentação ortodôntica completa — modelos, fotos, radiografia panorâmica, telerradiografia em norma lateral, análise cefalométrica].</w:t>
      </w:r>
    </w:p>
    <w:p>
      <w:pPr>
        <w:keepNext/>
        <w:spacing w:before="280" w:after="80"/>
      </w:pPr>
      <w:r>
        <w:rPr>
          <w:rFonts w:ascii="Garamond" w:hAnsi="Garamond"/>
          <w:b/>
          <w:color w:val="093145"/>
          <w:sz w:val="28"/>
        </w:rPr>
        <w:t>4. Alternativas terapêuticas avaliadas</w:t>
      </w:r>
    </w:p>
    <w:p>
      <w:pPr>
        <w:spacing w:lineRule="auto" w:line="324" w:after="120"/>
        <w:jc w:val="both"/>
      </w:pPr>
      <w:r>
        <w:rPr>
          <w:rFonts w:ascii="Georgia" w:hAnsi="Georgia"/>
          <w:i w:val="0"/>
          <w:sz w:val="21"/>
        </w:rPr>
        <w:t>Foram apresentadas e discutidas com o paciente as seguintes alternativas: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[Tratamento ortodôntico com modalidade diferente — fixo vs alinhador, com vantagens e limitações]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[Tratamento ortodôntico-cirúrgico (ortognática) em casos esqueléticos]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[Tratamento restaurador estético sem ortodontia — facetas, lentes — com limitações funcionais]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[Não tratamento — manutenção do quadro com riscos de progressão de problemas funcionais e periodontais]</w:t>
      </w:r>
    </w:p>
    <w:p>
      <w:pPr>
        <w:keepNext/>
        <w:spacing w:before="280" w:after="80"/>
      </w:pPr>
      <w:r>
        <w:rPr>
          <w:rFonts w:ascii="Garamond" w:hAnsi="Garamond"/>
          <w:b/>
          <w:color w:val="093145"/>
          <w:sz w:val="28"/>
        </w:rPr>
        <w:t>5. Riscos típicos e atípicos</w:t>
      </w:r>
    </w:p>
    <w:p>
      <w:pPr>
        <w:spacing w:lineRule="auto" w:line="324" w:after="120"/>
        <w:jc w:val="both"/>
      </w:pPr>
      <w:r>
        <w:rPr>
          <w:rFonts w:ascii="Georgia" w:hAnsi="Georgia"/>
          <w:i w:val="0"/>
          <w:sz w:val="21"/>
        </w:rPr>
        <w:t>Todo tratamento ortodôntico envolve riscos. Os principais incluem:</w:t>
      </w:r>
    </w:p>
    <w:p>
      <w:pPr>
        <w:keepNext/>
        <w:spacing w:before="200" w:after="40"/>
      </w:pPr>
      <w:r>
        <w:rPr>
          <w:rFonts w:ascii="Georgia" w:hAnsi="Georgia"/>
          <w:b/>
          <w:color w:val="9A2618"/>
          <w:sz w:val="21"/>
        </w:rPr>
        <w:t>Riscos típicos (mais frequentes)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Dor e desconforto nos primeiros dias após instalação e em cada ativação/troca de fio ou alinhador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Irritação da mucosa (lábios, língua, bochechas) por componentes do aparelho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Limitação alimentar temporária (dieta sem alimentos duros, pegajosos ou que exijam mordida com incisivos)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Hábito de fala temporariamente alterado nas primeiras semanas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Acúmulo de placa bacteriana com risco aumentado de cárie e gengivite se higiene for inadequada</w:t>
      </w:r>
    </w:p>
    <w:p>
      <w:pPr>
        <w:keepNext/>
        <w:spacing w:before="200" w:after="40"/>
      </w:pPr>
      <w:r>
        <w:rPr>
          <w:rFonts w:ascii="Georgia" w:hAnsi="Georgia"/>
          <w:b/>
          <w:color w:val="9A2618"/>
          <w:sz w:val="21"/>
        </w:rPr>
        <w:t>Riscos atípicos (menos frequentes, relevantes)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Reabsorção radicular apical — encurtamento parcial da raiz dos dentes, geralmente leve, raramente significativa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Recidiva (retorno parcial ao quadro inicial) após o tratamento, especialmente sem uso adequado da contenção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Anquilose dentária (fusão raiz-osso) com impacto na movimentação ortodôntica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Lesões cariosas e descalcificações (manchas brancas) ao redor de bráquetes em casos de higiene deficiente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Disfunção da articulação temporomandibular (DTM) em alguns pacientes suscetíveis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Necessidade de extensão do tempo de tratamento em casos de baixa cooperação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Necessidade de retratamento ou complementação cirúrgica em casos esqueléticos não previstos inicialmente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Reações alérgicas a componentes do aparelho (níquel) — raras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Em alinhadores transparentes: necessidade de attachments (pontos de resina), refinamentos com novos jogos de alinhadores, possível necessidade de migração para aparelho fixo em casos de movimento não obtido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9066"/>
      </w:tblGrid>
      <w:tr>
        <w:tc>
          <w:tcPr>
            <w:tcW w:type="dxa" w:w="9066"/>
            <w:shd w:val="clear" w:color="auto" w:fill="F3EFEA"/>
            <w:tcBorders>
              <w:top w:val="nil"/>
              <w:bottom w:val="nil"/>
              <w:right w:val="nil"/>
              <w:left w:val="single" w:sz="24" w:color="9A2618"/>
            </w:tcBorders>
            <w:tcMar>
              <w:top w:w="200" w:type="dxa"/>
              <w:bottom w:w="200" w:type="dxa"/>
              <w:left w:w="300" w:type="dxa"/>
              <w:right w:w="300" w:type="dxa"/>
            </w:tcMar>
          </w:tcPr>
          <w:p>
            <w:r/>
            <w:r>
              <w:rPr>
                <w:rFonts w:ascii="Georgia" w:hAnsi="Georgia"/>
                <w:b/>
                <w:color w:val="9A2618"/>
                <w:sz w:val="18"/>
              </w:rPr>
              <w:t>PERSONALIZAR CONFORME O CASO</w:t>
            </w:r>
          </w:p>
          <w:p>
            <w:pPr>
              <w:spacing w:line="312" w:lineRule="auto"/>
            </w:pPr>
            <w:r>
              <w:rPr>
                <w:rFonts w:ascii="Georgia" w:hAnsi="Georgia"/>
                <w:color w:val="111111"/>
                <w:sz w:val="20"/>
              </w:rPr>
              <w:t>Os riscos acima são gerais. A redação final deve incluir riscos específicos identificados na documentação ortodôntica: predisposição à reabsorção radicular (raízes curtas/finas), presença de DTM preexistente, dentes com tratamento endodôntico prévio (maior risco de anquilose), perfil do paciente (idade, motivação, capacidade de higiene), e particularidades do plano (extrações, expansão palatina cirúrgica, ortodontia pré-cirúrgica).</w:t>
            </w:r>
          </w:p>
        </w:tc>
      </w:tr>
    </w:tbl>
    <w:p>
      <w:pPr>
        <w:spacing w:after="80"/>
      </w:pPr>
    </w:p>
    <w:p>
      <w:pPr>
        <w:keepNext/>
        <w:spacing w:before="280" w:after="80"/>
      </w:pPr>
      <w:r>
        <w:rPr>
          <w:rFonts w:ascii="Garamond" w:hAnsi="Garamond"/>
          <w:b/>
          <w:color w:val="093145"/>
          <w:sz w:val="28"/>
        </w:rPr>
        <w:t>6. Cuidados durante o tratamento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Higiene oral rigorosa: escovação após cada refeição, uso de escova interdental e fio dental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Dieta sem alimentos duros (gelo, balas duras, pipoca dura), pegajosos (caramelos, chicletes) ou que exijam mordida com incisivos (maçã, sanduíches inteiros)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Comparecer pontualmente às consultas de manutenção/troca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Em alinhadores: usar 22h/dia, retirar apenas para refeições e higiene; trocar conforme cronograma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Comunicar imediatamente quebras, descolagem de bráquetes, perda de elásticos ou alinhadores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Realizar consultas periodontais e de profilaxia conforme indicado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Não fumar (compromete cicatrização gengival e movimento ortodôntico)</w:t>
      </w:r>
    </w:p>
    <w:p>
      <w:pPr>
        <w:keepNext/>
        <w:spacing w:before="280" w:after="80"/>
      </w:pPr>
      <w:r>
        <w:rPr>
          <w:rFonts w:ascii="Garamond" w:hAnsi="Garamond"/>
          <w:b/>
          <w:color w:val="093145"/>
          <w:sz w:val="28"/>
        </w:rPr>
        <w:t>7. Cuidados pós-tratamento (contenção)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Uso da contenção exatamente conforme prescrição — descumprimento causa recidiva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Tempo de uso variável (frequentemente indefinido em alguns pacientes)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Comparecer aos retornos de controle de contenção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Substituir contenção em caso de quebra ou perda imediatamente</w:t>
      </w:r>
    </w:p>
    <w:p>
      <w:pPr>
        <w:keepNext/>
        <w:spacing w:before="280" w:after="80"/>
      </w:pPr>
      <w:r>
        <w:rPr>
          <w:rFonts w:ascii="Garamond" w:hAnsi="Garamond"/>
          <w:b/>
          <w:color w:val="093145"/>
          <w:sz w:val="28"/>
        </w:rPr>
        <w:t>8. Variabilidade de resultado — obrigação de meio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9066"/>
      </w:tblGrid>
      <w:tr>
        <w:tc>
          <w:tcPr>
            <w:tcW w:type="dxa" w:w="9066"/>
            <w:shd w:val="clear" w:color="auto" w:fill="F3EFEA"/>
            <w:tcBorders>
              <w:top w:val="nil"/>
              <w:bottom w:val="nil"/>
              <w:right w:val="nil"/>
              <w:left w:val="single" w:sz="24" w:color="9A2618"/>
            </w:tcBorders>
            <w:tcMar>
              <w:top w:w="200" w:type="dxa"/>
              <w:bottom w:w="200" w:type="dxa"/>
              <w:left w:w="300" w:type="dxa"/>
              <w:right w:w="300" w:type="dxa"/>
            </w:tcMar>
          </w:tcPr>
          <w:p>
            <w:r/>
            <w:r>
              <w:rPr>
                <w:rFonts w:ascii="Georgia" w:hAnsi="Georgia"/>
                <w:b/>
                <w:color w:val="9A2618"/>
                <w:sz w:val="18"/>
              </w:rPr>
              <w:t>CONSENTIMENTO SOBRE OBRIGAÇÃO DE MEIO</w:t>
            </w:r>
          </w:p>
          <w:p>
            <w:pPr>
              <w:spacing w:line="312" w:lineRule="auto"/>
            </w:pPr>
            <w:r>
              <w:rPr>
                <w:rFonts w:ascii="Georgia" w:hAnsi="Georgia"/>
                <w:color w:val="111111"/>
                <w:sz w:val="20"/>
              </w:rPr>
              <w:t>A Ortodontia é OBRIGAÇÃO DE MEIO — o profissional compromete-se a aplicar técnica diligente conforme estado da arte, mas NÃO GARANTE resultado idêntico ao planejado. O resultado depende fortemente da COOPERAÇÃO do paciente (uso correto, dieta, higiene, comparecimento às consultas, uso de elásticos, uso de contenção). A resposta biológica varia individualmente. Pequenos movimentos não obtidos ao final do tratamento podem ser inerentes à variabilidade biológica. A recidiva pós-tratamento é minimizada — não eliminada — pelo uso adequado da contenção.</w:t>
            </w:r>
          </w:p>
        </w:tc>
      </w:tr>
    </w:tbl>
    <w:p>
      <w:pPr>
        <w:spacing w:after="80"/>
      </w:pPr>
    </w:p>
    <w:p>
      <w:pPr>
        <w:keepNext/>
        <w:spacing w:before="280" w:after="80"/>
      </w:pPr>
      <w:r>
        <w:rPr>
          <w:rFonts w:ascii="Garamond" w:hAnsi="Garamond"/>
          <w:b/>
          <w:color w:val="093145"/>
          <w:sz w:val="28"/>
        </w:rPr>
        <w:t>9. Direito de revogação</w:t>
      </w:r>
    </w:p>
    <w:p>
      <w:pPr>
        <w:spacing w:lineRule="auto" w:line="324" w:after="120"/>
        <w:jc w:val="both"/>
      </w:pPr>
      <w:r>
        <w:rPr>
          <w:rFonts w:ascii="Georgia" w:hAnsi="Georgia"/>
          <w:i w:val="0"/>
          <w:sz w:val="21"/>
        </w:rPr>
        <w:t>O paciente declara estar ciente de que pode revogar este consentimento a qualquer momento, interrompendo o tratamento. A interrupção precoce pode resultar em quadro pior que o inicial (dentes em posições intermediárias). A retomada posterior depende de novo planejamento.</w:t>
      </w:r>
    </w:p>
    <w:p>
      <w:pPr>
        <w:spacing w:before="240" w:after="240"/>
        <w:jc w:val="center"/>
      </w:pPr>
      <w:r>
        <w:rPr>
          <w:color w:val="D4AF37"/>
          <w:sz w:val="18"/>
        </w:rPr>
        <w:t>◆ ◆ ◆</w:t>
      </w:r>
    </w:p>
    <w:p>
      <w:pPr>
        <w:keepNext/>
        <w:spacing w:before="280" w:after="80"/>
      </w:pPr>
      <w:r>
        <w:rPr>
          <w:rFonts w:ascii="Garamond" w:hAnsi="Garamond"/>
          <w:b/>
          <w:color w:val="093145"/>
          <w:sz w:val="28"/>
        </w:rPr>
        <w:t>Tratamento de dados pessoais (LGPD)</w:t>
      </w:r>
    </w:p>
    <w:p>
      <w:pPr>
        <w:spacing w:lineRule="auto" w:line="324" w:after="120"/>
        <w:jc w:val="both"/>
      </w:pPr>
      <w:r>
        <w:rPr>
          <w:rFonts w:ascii="Georgia" w:hAnsi="Georgia"/>
          <w:i w:val="0"/>
          <w:sz w:val="21"/>
        </w:rPr>
        <w:t>O paciente autoriza o tratamento de seus dados pessoais e de saúde para finalidade exclusivamente clínica, conforme a Lei 13.709/2018 (LGPD). Arquivamento pelo prazo mínimo legal (20 anos). Em caso de uso de plataforma digital de planejamento (alinhadores), o paciente autoriza o envio de dados clínicos e imagens à empresa do sistema de alinhadores, conforme política de privacidade informada separadamente.</w:t>
      </w:r>
    </w:p>
    <w:p>
      <w:pPr>
        <w:spacing w:before="240" w:after="240"/>
        <w:jc w:val="center"/>
      </w:pPr>
      <w:r>
        <w:rPr>
          <w:color w:val="D4AF37"/>
          <w:sz w:val="18"/>
        </w:rPr>
        <w:t>◆ ◆ ◆</w:t>
      </w:r>
    </w:p>
    <w:p>
      <w:pPr>
        <w:keepNext/>
        <w:spacing w:before="280" w:after="80"/>
      </w:pPr>
      <w:r>
        <w:rPr>
          <w:rFonts w:ascii="Garamond" w:hAnsi="Garamond"/>
          <w:b/>
          <w:color w:val="093145"/>
          <w:sz w:val="28"/>
        </w:rPr>
        <w:t>Declaração final e assinaturas</w:t>
      </w:r>
    </w:p>
    <w:p>
      <w:pPr>
        <w:spacing w:lineRule="auto" w:line="324" w:after="120"/>
        <w:jc w:val="both"/>
      </w:pPr>
      <w:r>
        <w:rPr>
          <w:rFonts w:ascii="Georgia" w:hAnsi="Georgia"/>
          <w:i w:val="0"/>
          <w:sz w:val="21"/>
        </w:rPr>
        <w:t>Declaro que li integralmente este Termo, que minhas dúvidas foram esclarecidas pelo profissional, que compreendo a natureza do procedimento, alternativas, riscos, cuidados, importância da minha COOPERAÇÃO ATIVA e variabilidade de resultado, e que CONSINTO LIVRE E ESCLARECIDAMENTE com a realização do tratamento descrito.</w:t>
      </w:r>
    </w:p>
    <w:p>
      <w:pPr>
        <w:spacing w:lineRule="auto" w:line="324" w:after="120"/>
        <w:jc w:val="both"/>
      </w:pPr>
      <w:r>
        <w:rPr>
          <w:rFonts w:ascii="Georgia" w:hAnsi="Georgia"/>
          <w:i w:val="0"/>
          <w:sz w:val="21"/>
        </w:rPr>
        <w:br/>
        <w:t>_________________________________________________</w:t>
      </w:r>
    </w:p>
    <w:p>
      <w:pPr>
        <w:spacing w:lineRule="auto" w:line="324" w:after="120"/>
        <w:jc w:val="both"/>
      </w:pPr>
      <w:r>
        <w:rPr>
          <w:rFonts w:ascii="Georgia" w:hAnsi="Georgia"/>
          <w:i w:val="0"/>
          <w:sz w:val="21"/>
        </w:rPr>
        <w:t>Paciente (ou responsável legal): [nome] — CPF: [_______]</w:t>
      </w:r>
    </w:p>
    <w:p>
      <w:pPr>
        <w:spacing w:lineRule="auto" w:line="324" w:after="120"/>
        <w:jc w:val="both"/>
      </w:pPr>
      <w:r>
        <w:rPr>
          <w:rFonts w:ascii="Georgia" w:hAnsi="Georgia"/>
          <w:i w:val="0"/>
          <w:sz w:val="21"/>
        </w:rPr>
        <w:t>Data: ___/___/_______</w:t>
      </w:r>
    </w:p>
    <w:p>
      <w:pPr>
        <w:spacing w:lineRule="auto" w:line="324" w:after="120"/>
        <w:jc w:val="both"/>
      </w:pPr>
      <w:r>
        <w:rPr>
          <w:rFonts w:ascii="Georgia" w:hAnsi="Georgia"/>
          <w:i w:val="0"/>
          <w:sz w:val="21"/>
        </w:rPr>
        <w:br/>
        <w:t>_________________________________________________</w:t>
      </w:r>
    </w:p>
    <w:p>
      <w:pPr>
        <w:spacing w:lineRule="auto" w:line="324" w:after="120"/>
        <w:jc w:val="both"/>
      </w:pPr>
      <w:r>
        <w:rPr>
          <w:rFonts w:ascii="Georgia" w:hAnsi="Georgia"/>
          <w:i w:val="0"/>
          <w:sz w:val="21"/>
        </w:rPr>
        <w:t>Profissional responsável: [nome] — CRO/UF [_______]</w:t>
      </w:r>
    </w:p>
    <w:p>
      <w:pPr>
        <w:spacing w:lineRule="auto" w:line="324" w:after="120"/>
        <w:jc w:val="both"/>
      </w:pPr>
      <w:r>
        <w:rPr>
          <w:rFonts w:ascii="Georgia" w:hAnsi="Georgia"/>
          <w:i w:val="0"/>
          <w:sz w:val="21"/>
        </w:rPr>
        <w:t>Data: ___/___/_______</w:t>
      </w:r>
    </w:p>
    <w:p>
      <w:pPr>
        <w:spacing w:lineRule="auto" w:line="324" w:after="120"/>
        <w:jc w:val="both"/>
      </w:pPr>
      <w:r>
        <w:rPr>
          <w:rFonts w:ascii="Georgia" w:hAnsi="Georgia"/>
          <w:i w:val="0"/>
          <w:sz w:val="21"/>
        </w:rPr>
        <w:br/>
        <w:t>Testemunha (quando aplicável): _________________________________________________</w:t>
      </w:r>
    </w:p>
    <w:p>
      <w:pPr>
        <w:spacing w:before="240" w:after="240"/>
        <w:jc w:val="center"/>
      </w:pPr>
      <w:r>
        <w:rPr>
          <w:color w:val="D4AF37"/>
          <w:sz w:val="18"/>
        </w:rPr>
        <w:t>◆ ◆ ◆</w:t>
      </w:r>
    </w:p>
    <w:p>
      <w:pPr>
        <w:keepNext/>
        <w:spacing w:before="280" w:after="80"/>
      </w:pPr>
      <w:r>
        <w:rPr>
          <w:rFonts w:ascii="Garamond" w:hAnsi="Garamond"/>
          <w:b/>
          <w:color w:val="093145"/>
          <w:sz w:val="28"/>
        </w:rPr>
        <w:t>Quem está por trás deste material</w:t>
      </w:r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4252"/>
        <w:gridCol w:w="4252"/>
      </w:tblGrid>
      <w:tr>
        <w:tc>
          <w:tcPr>
            <w:tcW w:type="dxa" w:w="4533"/>
            <w:shd w:val="clear" w:color="auto" w:fill="F3EFE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tcMar>
              <w:top w:w="240" w:type="dxa"/>
              <w:bottom w:w="240" w:type="dxa"/>
              <w:left w:w="320" w:type="dxa"/>
              <w:right w:w="320" w:type="dxa"/>
            </w:tcMar>
          </w:tcPr>
          <w:p>
            <w:r/>
            <w:r>
              <w:rPr>
                <w:rFonts w:ascii="Georgia" w:hAnsi="Georgia"/>
                <w:b/>
                <w:color w:val="9A2618"/>
                <w:sz w:val="17"/>
              </w:rPr>
              <w:t>ELABORAÇÃO JURÍDICA</w:t>
            </w:r>
          </w:p>
          <w:p>
            <w:r>
              <w:rPr>
                <w:rFonts w:ascii="Garamond" w:hAnsi="Garamond"/>
                <w:b/>
                <w:color w:val="093145"/>
                <w:sz w:val="24"/>
              </w:rPr>
              <w:t>Dr. Luiggi Belisário · OAB/SP 513.090</w:t>
            </w:r>
          </w:p>
          <w:p>
            <w:r>
              <w:rPr>
                <w:rFonts w:ascii="Georgia" w:hAnsi="Georgia"/>
                <w:color w:val="111111"/>
                <w:sz w:val="18"/>
              </w:rPr>
              <w:t>Sócio-fundador · Belisário Maciel Advogados</w:t>
              <w:br/>
              <w:t>Direito Médico e Odontológico</w:t>
            </w:r>
          </w:p>
        </w:tc>
        <w:tc>
          <w:tcPr>
            <w:tcW w:type="dxa" w:w="4533"/>
            <w:shd w:val="clear" w:color="auto" w:fill="F3EFE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tcMar>
              <w:top w:w="240" w:type="dxa"/>
              <w:bottom w:w="240" w:type="dxa"/>
              <w:left w:w="320" w:type="dxa"/>
              <w:right w:w="320" w:type="dxa"/>
            </w:tcMar>
          </w:tcPr>
          <w:p>
            <w:r/>
            <w:r>
              <w:rPr>
                <w:rFonts w:ascii="Georgia" w:hAnsi="Georgia"/>
                <w:b/>
                <w:color w:val="9A2618"/>
                <w:sz w:val="17"/>
              </w:rPr>
              <w:t>VALIDAÇÃO TÉCNICA ODONTOLÓGICA</w:t>
            </w:r>
          </w:p>
          <w:p>
            <w:r>
              <w:rPr>
                <w:rFonts w:ascii="Garamond" w:hAnsi="Garamond"/>
                <w:b/>
                <w:color w:val="093145"/>
                <w:sz w:val="24"/>
              </w:rPr>
              <w:t>Dra. Bianca Stéfann Sousa Chagas</w:t>
            </w:r>
          </w:p>
          <w:p>
            <w:r>
              <w:rPr>
                <w:rFonts w:ascii="Georgia" w:hAnsi="Georgia"/>
                <w:color w:val="111111"/>
                <w:sz w:val="18"/>
              </w:rPr>
              <w:t>CRO/SP 152329</w:t>
              <w:br/>
              <w:t>Validação técnica odontológica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9066"/>
      </w:tblGrid>
      <w:tr>
        <w:tc>
          <w:tcPr>
            <w:tcW w:type="dxa" w:w="9066"/>
            <w:shd w:val="clear" w:color="auto" w:fill="F3EFEA"/>
            <w:tcBorders>
              <w:top w:val="nil"/>
              <w:bottom w:val="nil"/>
              <w:right w:val="nil"/>
              <w:left w:val="single" w:sz="24" w:color="9A2618"/>
            </w:tcBorders>
            <w:tcMar>
              <w:top w:w="200" w:type="dxa"/>
              <w:bottom w:w="200" w:type="dxa"/>
              <w:left w:w="300" w:type="dxa"/>
              <w:right w:w="300" w:type="dxa"/>
            </w:tcMar>
          </w:tcPr>
          <w:p>
            <w:r/>
            <w:r>
              <w:rPr>
                <w:rFonts w:ascii="Georgia" w:hAnsi="Georgia"/>
                <w:b/>
                <w:color w:val="9A2618"/>
                <w:sz w:val="18"/>
              </w:rPr>
              <w:t>AVISO DE RESPONSABILIDADE</w:t>
            </w:r>
          </w:p>
          <w:p>
            <w:pPr>
              <w:spacing w:line="312" w:lineRule="auto"/>
            </w:pPr>
            <w:r>
              <w:rPr>
                <w:rFonts w:ascii="Georgia" w:hAnsi="Georgia"/>
                <w:color w:val="111111"/>
                <w:sz w:val="20"/>
              </w:rPr>
              <w:t>A elaboração jurídica e a responsabilidade contratual permanecem com o Belisário Maciel Advogados. Os modelos são templates educativos e devem ser personalizados pelo cirurgião-dentista responsável conforme caso clínico, técnica empregada e perfil do paciente. A revisão técnica abrange a adequação dos riscos clínicos e cuidados gerais à literatura e diretrizes da especialidade — não substitui análise individualizada de cada caso pelo profissional responsável.</w:t>
            </w:r>
          </w:p>
        </w:tc>
      </w:tr>
    </w:tbl>
    <w:p>
      <w:pPr>
        <w:spacing w:after="80"/>
      </w:pPr>
    </w:p>
    <w:p>
      <w:pPr>
        <w:spacing w:before="240" w:after="240"/>
        <w:jc w:val="center"/>
      </w:pPr>
      <w:r>
        <w:rPr>
          <w:color w:val="D4AF37"/>
          <w:sz w:val="18"/>
        </w:rPr>
        <w:t>◆ ◆ ◆</w:t>
      </w:r>
    </w:p>
    <w:p>
      <w:pPr>
        <w:jc w:val="center"/>
      </w:pPr>
      <w:r>
        <w:rPr>
          <w:rFonts w:ascii="Georgia" w:hAnsi="Georgia"/>
          <w:b/>
          <w:color w:val="093145"/>
          <w:sz w:val="20"/>
        </w:rPr>
        <w:t>BELISÁRIO MACIEL ADVOGADOS</w:t>
      </w:r>
    </w:p>
    <w:p>
      <w:pPr>
        <w:jc w:val="center"/>
      </w:pPr>
      <w:r>
        <w:rPr>
          <w:rFonts w:ascii="Georgia" w:hAnsi="Georgia"/>
          <w:i/>
          <w:color w:val="5A6470"/>
          <w:sz w:val="17"/>
        </w:rPr>
        <w:t>Direito Médico e Odontológico · São Paulo · belisario.com.br</w:t>
      </w:r>
    </w:p>
    <w:p>
      <w:pPr>
        <w:jc w:val="center"/>
      </w:pPr>
      <w:r>
        <w:rPr>
          <w:rFonts w:ascii="Georgia" w:hAnsi="Georgia"/>
          <w:color w:val="5A6470"/>
          <w:sz w:val="15"/>
        </w:rPr>
        <w:t>Documento versão 1.0 · May de 2026</w:t>
        <w:br/>
        <w:t>Este material é educativo e não substitui consultoria jurídica individualizada.</w:t>
      </w:r>
    </w:p>
    <w:sectPr w:rsidR="00FC693F" w:rsidRPr="0006063C" w:rsidSect="00034616">
      <w:headerReference w:type="default" r:id="rId10"/>
      <w:footerReference w:type="default" r:id="rId11"/>
      <w:pgSz w:w="12240" w:h="15840"/>
      <w:pgMar w:top="1474" w:right="1587" w:bottom="1474" w:left="1587" w:header="680" w:footer="68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</w:pPr>
  </w:p>
  <w:tbl>
    <w:tblPr>
      <w:tblW w:type="auto" w:w="0"/>
      <w:tblLayout w:type="fixed"/>
      <w:tblLook w:firstColumn="1" w:firstRow="1" w:lastColumn="0" w:lastRow="0" w:noHBand="0" w:noVBand="1" w:val="04A0"/>
    </w:tblPr>
    <w:tblGrid>
      <w:gridCol w:w="3402"/>
      <w:gridCol w:w="2268"/>
      <w:gridCol w:w="3402"/>
    </w:tblGrid>
    <w:tr>
      <w:tc>
        <w:tcPr>
          <w:tcW w:type="dxa" w:w="3024"/>
          <w:tcBorders>
            <w:top w:val="nil"/>
            <w:left w:val="nil"/>
            <w:bottom w:val="nil"/>
            <w:right w:val="nil"/>
            <w:insideH w:val="nil"/>
            <w:insideV w:val="nil"/>
          </w:tcBorders>
        </w:tcPr>
        <w:p>
          <w:pPr>
            <w:jc w:val="left"/>
          </w:pPr>
          <w:r>
            <w:rPr>
              <w:rFonts w:ascii="Georgia" w:hAnsi="Georgia"/>
              <w:color w:val="5A6470"/>
              <w:sz w:val="16"/>
            </w:rPr>
            <w:t>Belisário Maciel Advogados</w:t>
          </w:r>
        </w:p>
      </w:tc>
      <w:tc>
        <w:tcPr>
          <w:tcW w:type="dxa" w:w="3024"/>
          <w:tcBorders>
            <w:top w:val="nil"/>
            <w:left w:val="nil"/>
            <w:bottom w:val="nil"/>
            <w:right w:val="nil"/>
            <w:insideH w:val="nil"/>
            <w:insideV w:val="nil"/>
          </w:tcBorders>
        </w:tcPr>
        <w:p>
          <w:pPr>
            <w:jc w:val="center"/>
          </w:pPr>
          <w:r>
            <w:rPr>
              <w:color w:val="D4AF37"/>
              <w:sz w:val="16"/>
            </w:rPr>
            <w:t>◆</w:t>
          </w:r>
        </w:p>
      </w:tc>
      <w:tc>
        <w:tcPr>
          <w:tcW w:type="dxa" w:w="3024"/>
          <w:tcBorders>
            <w:top w:val="nil"/>
            <w:left w:val="nil"/>
            <w:bottom w:val="nil"/>
            <w:right w:val="nil"/>
            <w:insideH w:val="nil"/>
            <w:insideV w:val="nil"/>
          </w:tcBorders>
        </w:tcPr>
        <w:p>
          <w:pPr>
            <w:jc w:val="right"/>
          </w:pPr>
          <w:r>
            <w:rPr>
              <w:rFonts w:ascii="Georgia" w:hAnsi="Georgia"/>
              <w:color w:val="5A6470"/>
              <w:sz w:val="16"/>
            </w:rPr>
            <w:t xml:space="preserve">Página </w:t>
          </w:r>
          <w:r>
            <w:rPr>
              <w:rFonts w:ascii="Georgia" w:hAnsi="Georgia"/>
              <w:color w:val="5A6470"/>
              <w:sz w:val="16"/>
            </w:rPr>
            <w:fldChar w:fldCharType="begin"/>
            <w:instrText xml:space="preserve"> PAGE </w:instrText>
            <w:fldChar w:fldCharType="end"/>
          </w:r>
        </w:p>
      </w:tc>
    </w:tr>
  </w:tbl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</w:pPr>
  </w:p>
  <w:tbl>
    <w:tblPr>
      <w:tblW w:type="auto" w:w="0"/>
      <w:tblLayout w:type="fixed"/>
      <w:tblLook w:firstColumn="1" w:firstRow="1" w:lastColumn="0" w:lastRow="0" w:noHBand="0" w:noVBand="1" w:val="04A0"/>
    </w:tblPr>
    <w:tblGrid>
      <w:gridCol w:w="4535"/>
      <w:gridCol w:w="4535"/>
    </w:tblGrid>
    <w:tr>
      <w:tc>
        <w:tcPr>
          <w:tcW w:type="dxa" w:w="4535"/>
          <w:tcBorders>
            <w:top w:val="nil"/>
            <w:left w:val="nil"/>
            <w:bottom w:val="nil"/>
            <w:right w:val="nil"/>
            <w:insideH w:val="nil"/>
            <w:insideV w:val="nil"/>
          </w:tcBorders>
        </w:tcPr>
        <w:p>
          <w:pPr>
            <w:jc w:val="left"/>
          </w:pPr>
          <w:r>
            <w:drawing>
              <wp:inline xmlns:a="http://schemas.openxmlformats.org/drawingml/2006/main" xmlns:pic="http://schemas.openxmlformats.org/drawingml/2006/picture">
                <wp:extent cx="1152000" cy="174960"/>
                <wp:docPr id="1" name="Picture 1"/>
                <wp:cNvGraphicFramePr>
                  <a:graphicFrameLocks noChangeAspect="1"/>
                </wp:cNvGraphicFramePr>
                <a:graphic>
                  <a:graphicData uri="http://schemas.openxmlformats.org/drawingml/2006/picture">
                    <pic:pic>
                      <pic:nvPicPr>
                        <pic:cNvPr id="0" name="logo-belisario-principal.png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52000" cy="174960"/>
                        </a:xfrm>
                        <a:prstGeom prst="rect"/>
                      </pic:spPr>
                    </pic:pic>
                  </a:graphicData>
                </a:graphic>
              </wp:inline>
            </w:drawing>
          </w:r>
        </w:p>
      </w:tc>
      <w:tc>
        <w:tcPr>
          <w:tcW w:type="dxa" w:w="4535"/>
          <w:tcBorders>
            <w:top w:val="nil"/>
            <w:left w:val="nil"/>
            <w:bottom w:val="nil"/>
            <w:right w:val="nil"/>
            <w:insideH w:val="nil"/>
            <w:insideV w:val="nil"/>
          </w:tcBorders>
        </w:tcPr>
        <w:p>
          <w:pPr>
            <w:jc w:val="right"/>
          </w:pPr>
          <w:r>
            <w:rPr>
              <w:rFonts w:ascii="Georgia" w:hAnsi="Georgia"/>
              <w:i/>
              <w:color w:val="5A6470"/>
              <w:sz w:val="16"/>
            </w:rPr>
            <w:t>TCLE Ortodontia</w:t>
          </w:r>
        </w:p>
      </w:tc>
    </w:tr>
  </w:tbl>
  <w:p>
    <w:pPr>
      <w:pBdr>
        <w:bottom w:val="single" w:sz="4" w:space="4" w:color="D4AF37"/>
      </w:pBdr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orgia" w:hAnsi="Georgia"/>
      <w:color w:val="111111"/>
      <w:sz w:val="21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png"/><Relationship Id="rId10" Type="http://schemas.openxmlformats.org/officeDocument/2006/relationships/header" Target="header1.xml"/><Relationship Id="rId11" Type="http://schemas.openxmlformats.org/officeDocument/2006/relationships/footer" Target="footer1.xml"/></Relationships>
</file>

<file path=word/_rels/header1.xml.rels><?xml version='1.0' encoding='UTF-8' standalone='yes'?>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