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2240"/>
      </w:tblGrid>
      <w:tr>
        <w:trPr>
          <w:trHeight w:val="16839" w:hRule="atLeast"/>
        </w:trPr>
        <w:tc>
          <w:tcPr>
            <w:tcW w:type="dxa" w:w="12240"/>
            <w:shd w:val="clear" w:color="auto" w:fill="093145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0" w:type="dxa"/>
              <w:bottom w:w="900" w:type="dxa"/>
              <w:left w:w="900" w:type="dxa"/>
              <w:right w:w="900" w:type="dxa"/>
            </w:tcMar>
            <w:vAlign w:val="top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980000" cy="300712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go-belisario-principa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30071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r>
              <w:rPr>
                <w:sz w:val="60"/>
              </w:rPr>
            </w:r>
          </w:p>
          <w:p>
            <w:pPr>
              <w:spacing w:after="280"/>
              <w:jc w:val="center"/>
            </w:pPr>
            <w:r>
              <w:rPr>
                <w:rFonts w:ascii="Georgia" w:hAnsi="Georgia"/>
                <w:b/>
                <w:color w:val="C8D4DC"/>
                <w:sz w:val="18"/>
              </w:rPr>
              <w:t>BANCO DE TCLE ODONTOLÓGICO · ENDODONTIA</w:t>
            </w:r>
          </w:p>
          <w:p>
            <w:pPr>
              <w:spacing w:after="200" w:line="276" w:lineRule="auto"/>
              <w:jc w:val="center"/>
            </w:pPr>
            <w:r>
              <w:rPr>
                <w:rFonts w:ascii="Garamond" w:hAnsi="Garamond"/>
                <w:color w:val="FFFFFF"/>
                <w:sz w:val="48"/>
              </w:rPr>
              <w:t>TCLE</w:t>
              <w:br/>
              <w:t>Endodontia</w:t>
            </w:r>
          </w:p>
          <w:p>
            <w:pPr>
              <w:spacing w:after="400"/>
              <w:jc w:val="center"/>
            </w:pPr>
            <w:r>
              <w:rPr>
                <w:rFonts w:ascii="Garamond" w:hAnsi="Garamond"/>
                <w:i/>
                <w:color w:val="C8D4DC"/>
                <w:sz w:val="24"/>
              </w:rPr>
              <w:t>Termo de Consentimento Livre e Esclarecido — Modelo Editável</w:t>
            </w:r>
          </w:p>
          <w:p>
            <w:pPr>
              <w:jc w:val="center"/>
            </w:pPr>
            <w:r>
              <w:rPr>
                <w:color w:val="D4AF37"/>
                <w:sz w:val="18"/>
              </w:rPr>
              <w:t>◆ ◆ ◆</w:t>
            </w:r>
          </w:p>
          <w:p>
            <w:r>
              <w:rPr>
                <w:sz w:val="160"/>
              </w:rPr>
            </w:r>
          </w:p>
          <w:p>
            <w:pPr>
              <w:spacing w:after="40"/>
              <w:jc w:val="center"/>
            </w:pPr>
            <w:r>
              <w:rPr>
                <w:rFonts w:ascii="Georgia" w:hAnsi="Georgia"/>
                <w:b/>
                <w:color w:val="FFFFFF"/>
                <w:sz w:val="18"/>
              </w:rPr>
              <w:t>BELISÁRIO MACIEL ADVOGADOS</w:t>
            </w:r>
          </w:p>
          <w:p>
            <w:pPr>
              <w:jc w:val="center"/>
            </w:pPr>
            <w:r>
              <w:rPr>
                <w:rFonts w:ascii="Georgia" w:hAnsi="Georgia"/>
                <w:i/>
                <w:color w:val="C8D4DC"/>
                <w:sz w:val="16"/>
              </w:rPr>
              <w:t>belisario.com.br · São Paulo</w:t>
            </w:r>
          </w:p>
        </w:tc>
      </w:tr>
    </w:tbl>
    <w:p>
      <w:pPr>
        <w:sectPr>
          <w:pgSz w:w="12240" w:h="15840"/>
          <w:pgMar w:top="0" w:right="0" w:bottom="0" w:left="0" w:header="0" w:footer="0" w:gutter="0"/>
          <w:cols w:space="720"/>
          <w:docGrid w:linePitch="360"/>
        </w:sectPr>
      </w:pPr>
    </w:p>
    <w:p>
      <w:pPr>
        <w:spacing w:after="0"/>
      </w:pPr>
    </w:p>
    <w:p>
      <w:pPr>
        <w:spacing w:before="240" w:after="160"/>
        <w:pBdr>
          <w:bottom w:val="single" w:sz="4" w:space="4" w:color="D4AF37"/>
        </w:pBdr>
      </w:pPr>
      <w:r>
        <w:rPr>
          <w:rFonts w:ascii="Garamond" w:hAnsi="Garamond"/>
          <w:color w:val="093145"/>
          <w:sz w:val="36"/>
        </w:rPr>
        <w:t>Como usar este modelo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Este modelo é um TEMPLATE EDITÁVEL para tratamento endodôntico (canal). Reúne as nove seções defensivas exigidas pela Resolução CFO 118/2012. É obrigação do cirurgião-dentista responsável personalizar cada item conforme caso clínico (dente envolvido, número de canais, presença de calcificação, lesão periapical, retratamento, técnica utilizada).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PERSONALIZAÇÃO OBRIGATÓRIA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Os campos com [colchetes] devem ser preenchidos. Os riscos clínicos descritos são genéricos e devem ser ajustados ao caso concreto, considerando: dente envolvido, anatomia canalicular, calcificação, lesão periapical preexistente, primeiro tratamento ou retratamento, técnica de instrumentação (manual ou rotatória) e demais variáveis do caso.</w:t>
            </w:r>
          </w:p>
        </w:tc>
      </w:tr>
    </w:tbl>
    <w:p>
      <w:pPr>
        <w:spacing w:after="80"/>
      </w:pP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spacing w:after="0"/>
      </w:pPr>
    </w:p>
    <w:p>
      <w:pPr>
        <w:spacing w:before="240" w:after="160"/>
        <w:pBdr>
          <w:bottom w:val="single" w:sz="4" w:space="4" w:color="D4AF37"/>
        </w:pBdr>
      </w:pPr>
      <w:r>
        <w:rPr>
          <w:rFonts w:ascii="Garamond" w:hAnsi="Garamond"/>
          <w:color w:val="093145"/>
          <w:sz w:val="36"/>
        </w:rPr>
        <w:t>Termo de Consentimento Livre e Esclarecido — Endodontia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1. Identificação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Paciente: [nome completo, CPF, RG, data de nascimento, endereço, telefone]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Responsável legal (quando aplicável): [nome completo, CPF, parentesco]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Profissional responsável: [nome completo, CRO/UF, especialidade em Endodontia se houver]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Local: [endereço da clínica/consultório] · Data: ___/___/_______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2. Descrição técnica do procedimento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Será realizado tratamento endodôntico (canal) no dente [número/elemento, ex: 26]. O procedimento consiste em: acesso à câmara pulpar, remoção do tecido pulpar, instrumentação dos canais radiculares com [técnica manual/rotatória/reciprocante], irrigação com solução antimicrobiana, secagem e obturação dos canais com [material — ex: guta-percha + cimento endodôntico].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Número de sessões previstas: [1 / 2 ou mais, com justificativa]. Tempo estimado por sessão: [duração].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Tipo de tratamento: [primeiro tratamento / retratamento — com justificativa].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3. Indicação clínica específica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A indicação do tratamento endodôntico baseia-se em: [diagnóstico clínico — ex: pulpite irreversível, necrose pulpar com lesão periapical, fratura coronária com exposição pulpar]. Os exames complementares que sustentam a indicação são: [radiografia periapical, tomografia cone beam quando aplicável, testes de vitalidade pulpar].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4. Alternativas terapêuticas avaliadas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Foram apresentadas e discutidas com o paciente as seguintes alternativas: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[Exodontia (extração) seguida de reabilitação protética — implante, prótese fixa ou removível]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[Manutenção sem tratamento — com risco de evolução do quadro infeccioso, dor aguda, abscesso, perda do dente]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[Encaminhamento a especialista em Endodontia em caso de complexidade técnica]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[Outras alternativas pertinentes ao caso específico]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A opção pelo tratamento endodôntico foi escolhida por: [justificativa técnica do caso].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5. Riscos típicos e atípicos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Todo tratamento endodôntico envolve riscos. Os principais riscos descritos pela literatura incluem:</w:t>
      </w:r>
    </w:p>
    <w:p>
      <w:pPr>
        <w:keepNext/>
        <w:spacing w:before="200" w:after="40"/>
      </w:pPr>
      <w:r>
        <w:rPr>
          <w:rFonts w:ascii="Georgia" w:hAnsi="Georgia"/>
          <w:b/>
          <w:color w:val="9A2618"/>
          <w:sz w:val="21"/>
        </w:rPr>
        <w:t>Riscos típicos (mais frequentes)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Sensibilidade pós-operatória nos primeiros 2 a 7 dias, controlável com medicação prescrita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Dor à mastigação na região tratada por alguns dias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Discreto edema local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Possível descoloração coronária ao longo do tempo (em dentes anteriores), demandando posterior clareamento ou restauração estética</w:t>
      </w:r>
    </w:p>
    <w:p>
      <w:pPr>
        <w:keepNext/>
        <w:spacing w:before="200" w:after="40"/>
      </w:pPr>
      <w:r>
        <w:rPr>
          <w:rFonts w:ascii="Georgia" w:hAnsi="Georgia"/>
          <w:b/>
          <w:color w:val="9A2618"/>
          <w:sz w:val="21"/>
        </w:rPr>
        <w:t>Riscos atípicos (menos frequentes, relevantes)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Fratura de instrumento endodôntico no interior do canal — em alguns casos requer remoção, em outros pode permanecer sem prejuízo ao prognóstico, dependendo da posição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Perfuração radicular durante a instrumentação — pode comprometer o prognóstico e exigir cirurgia paraendodôntica ou exodontia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Sobreobturação ou subobturação do material obturador — eventualmente exigindo retratamento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Persistência ou desenvolvimento de lesão periapical, requerendo retratamento ou cirurgia parendodôntica (apicectomia)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Acidente com hipoclorito de sódio (extravasamento) — reação química local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Falha do tratamento mesmo com técnica adequada — taxas de sucesso variam entre 85-95% em primeiros tratamentos e 65-80% em retratamentos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Necessidade de exodontia em caso de falha não recuperável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Reações adversas a anestésicos ou medicamentos prescritos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PERSONALIZAR CONFORME O CASO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Os riscos acima são gerais. A redação final deve incluir riscos específicos do caso: anatomia canalicular complexa identificada na radiografia/TC, calcificação canalicular, curvaturas acentuadas, presença de lesão periapical, retratamento (taxas de sucesso menores), dente já restaurado com pino/coroa.</w:t>
            </w:r>
          </w:p>
        </w:tc>
      </w:tr>
    </w:tbl>
    <w:p>
      <w:pPr>
        <w:spacing w:after="80"/>
      </w:pP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6. Cuidados pré-operatórios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Comunicar alergias medicamentosas e condições sistêmicas (diabetes, cardiopatias, gestação, uso de bisfosfonatos)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Manter higiene oral rigorosa nos dias anteriores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Comparecer alimentado, evitando jejum prolongado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Trazer exames complementares solicitados (radiografias, tomografias)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7. Cuidados pós-operatórios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Evitar mastigar do lado tratado pelas primeiras 24 a 48 horas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Dieta macia nos primeiros dias se houver desconforto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Tomar medicação prescrita (analgésico/anti-inflamatório/antibiótico se indicado) conforme orientação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Manter higiene oral cuidadosa, escovação suave na região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Comparecer aos retornos para conclusão do tratamento e restauração definitiva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Procurar atendimento imediato em caso de dor intensa persistente, edema crescente, febre, drenagem de secreção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Realizar restauração coronária definitiva no prazo orientado pelo profissional — dentes endodontados sem restauração adequada têm risco aumentado de fratura e contaminação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8. Variabilidade de resultado — obrigação de meio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CONSENTIMENTO SOBRE OBRIGAÇÃO DE MEIO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A Endodontia é OBRIGAÇÃO DE MEIO — o profissional compromete-se a aplicar técnica diligente conforme estado da arte, mas NÃO GARANTE resultado idêntico ao planejado. Taxas de sucesso variam conforme literatura entre 85-95% em primeiros tratamentos e 65-80% em retratamentos, NÃO sendo 100%. O prognóstico depende de fatores biológicos do paciente, anatomia do dente, extensão de eventual lesão preexistente e adequação da restauração coronária definitiva. Em caso de falha, pode ser necessário retratamento, cirurgia parendodôntica ou exodontia.</w:t>
            </w:r>
          </w:p>
        </w:tc>
      </w:tr>
    </w:tbl>
    <w:p>
      <w:pPr>
        <w:spacing w:after="80"/>
      </w:pP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9. Direito de revogação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O paciente declara estar ciente de que pode revogar este consentimento a qualquer momento antes do início do procedimento, sem qualquer ônus, mediante comunicação escrita ao profissional. Após o início do tratamento, a interrupção será avaliada caso a caso por critério clínico, sempre priorizando a segurança do paciente.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Tratamento de dados pessoais (LGPD)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O paciente autoriza o tratamento de seus dados pessoais e de saúde para finalidade exclusivamente clínica, conforme a Lei 13.709/2018 (LGPD). Os dados serão arquivados pelo prazo mínimo legal (20 anos a partir do último atendimento), com acesso restrito ao profissional responsável e equipe diretamente envolvida.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Declaração final e assinaturas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Declaro que li integralmente este Termo, que minhas dúvidas foram esclarecidas pelo profissional, que compreendo a natureza do procedimento, alternativas, riscos, cuidados e variabilidade de resultado, e que CONSINTO LIVRE E ESCLARECIDAMENTE com a realização do tratamento descrito.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br/>
        <w:t>_________________________________________________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Paciente (ou responsável legal): [nome] — CPF: [_______]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Data: ___/___/_______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br/>
        <w:t>_________________________________________________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Profissional responsável: [nome] — CRO/UF [_______]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Data: ___/___/_______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br/>
        <w:t>Testemunha (quando aplicável): _________________________________________________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Quem está por trás deste material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252"/>
        <w:gridCol w:w="4252"/>
      </w:tblGrid>
      <w:tr>
        <w:tc>
          <w:tcPr>
            <w:tcW w:type="dxa" w:w="4533"/>
            <w:shd w:val="clear" w:color="auto" w:fill="F3EFE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" w:type="dxa"/>
              <w:bottom w:w="240" w:type="dxa"/>
              <w:left w:w="320" w:type="dxa"/>
              <w:right w:w="32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7"/>
              </w:rPr>
              <w:t>ELABORAÇÃO JURÍDICA</w:t>
            </w:r>
          </w:p>
          <w:p>
            <w:r>
              <w:rPr>
                <w:rFonts w:ascii="Garamond" w:hAnsi="Garamond"/>
                <w:b/>
                <w:color w:val="093145"/>
                <w:sz w:val="24"/>
              </w:rPr>
              <w:t>Dr. Luiggi Belisário · OAB/SP 513.090</w:t>
            </w:r>
          </w:p>
          <w:p>
            <w:r>
              <w:rPr>
                <w:rFonts w:ascii="Georgia" w:hAnsi="Georgia"/>
                <w:color w:val="111111"/>
                <w:sz w:val="18"/>
              </w:rPr>
              <w:t>Sócio-fundador · Belisário Maciel Advogados</w:t>
              <w:br/>
              <w:t>Direito Médico e Odontológico</w:t>
            </w:r>
          </w:p>
        </w:tc>
        <w:tc>
          <w:tcPr>
            <w:tcW w:type="dxa" w:w="4533"/>
            <w:shd w:val="clear" w:color="auto" w:fill="F3EFE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" w:type="dxa"/>
              <w:bottom w:w="240" w:type="dxa"/>
              <w:left w:w="320" w:type="dxa"/>
              <w:right w:w="32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7"/>
              </w:rPr>
              <w:t>VALIDAÇÃO TÉCNICA ODONTOLÓGICA</w:t>
            </w:r>
          </w:p>
          <w:p>
            <w:r>
              <w:rPr>
                <w:rFonts w:ascii="Garamond" w:hAnsi="Garamond"/>
                <w:b/>
                <w:color w:val="093145"/>
                <w:sz w:val="24"/>
              </w:rPr>
              <w:t>Dra. Bianca Stéfann Sousa Chagas</w:t>
            </w:r>
          </w:p>
          <w:p>
            <w:r>
              <w:rPr>
                <w:rFonts w:ascii="Georgia" w:hAnsi="Georgia"/>
                <w:color w:val="111111"/>
                <w:sz w:val="18"/>
              </w:rPr>
              <w:t>CRO/SP 152329</w:t>
              <w:br/>
              <w:t>Validação técnica odontológica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AVISO DE RESPONSABILIDADE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A elaboração jurídica e a responsabilidade contratual permanecem com o Belisário Maciel Advogados. Os modelos são templates educativos e devem ser personalizados pelo cirurgião-dentista responsável conforme caso clínico, técnica empregada e perfil do paciente. A revisão técnica abrange a adequação dos riscos clínicos e cuidados gerais à literatura e diretrizes da especialidade — não substitui análise individualizada de cada caso pelo profissional responsável.</w:t>
            </w:r>
          </w:p>
        </w:tc>
      </w:tr>
    </w:tbl>
    <w:p>
      <w:pPr>
        <w:spacing w:after="80"/>
      </w:pP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jc w:val="center"/>
      </w:pPr>
      <w:r>
        <w:rPr>
          <w:rFonts w:ascii="Georgia" w:hAnsi="Georgia"/>
          <w:b/>
          <w:color w:val="093145"/>
          <w:sz w:val="20"/>
        </w:rPr>
        <w:t>BELISÁRIO MACIEL ADVOGADOS</w:t>
      </w:r>
    </w:p>
    <w:p>
      <w:pPr>
        <w:jc w:val="center"/>
      </w:pPr>
      <w:r>
        <w:rPr>
          <w:rFonts w:ascii="Georgia" w:hAnsi="Georgia"/>
          <w:i/>
          <w:color w:val="5A6470"/>
          <w:sz w:val="17"/>
        </w:rPr>
        <w:t>Direito Médico e Odontológico · São Paulo · belisario.com.br</w:t>
      </w:r>
    </w:p>
    <w:p>
      <w:pPr>
        <w:jc w:val="center"/>
      </w:pPr>
      <w:r>
        <w:rPr>
          <w:rFonts w:ascii="Georgia" w:hAnsi="Georgia"/>
          <w:color w:val="5A6470"/>
          <w:sz w:val="15"/>
        </w:rPr>
        <w:t>Documento versão 1.0 · May de 2026</w:t>
        <w:br/>
        <w:t>Este material é educativo e não substitui consultoria jurídica individualizada.</w:t>
      </w:r>
    </w:p>
    <w:sectPr w:rsidR="00FC693F" w:rsidRPr="0006063C" w:rsidSect="00034616">
      <w:headerReference w:type="default" r:id="rId10"/>
      <w:footerReference w:type="default" r:id="rId11"/>
      <w:pgSz w:w="12240" w:h="15840"/>
      <w:pgMar w:top="1474" w:right="1587" w:bottom="1474" w:left="1587" w:header="680" w:footer="68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  <w:tbl>
    <w:tblPr>
      <w:tblW w:type="auto" w:w="0"/>
      <w:tblLayout w:type="fixed"/>
      <w:tblLook w:firstColumn="1" w:firstRow="1" w:lastColumn="0" w:lastRow="0" w:noHBand="0" w:noVBand="1" w:val="04A0"/>
    </w:tblPr>
    <w:tblGrid>
      <w:gridCol w:w="3402"/>
      <w:gridCol w:w="2268"/>
      <w:gridCol w:w="3402"/>
    </w:tblGrid>
    <w:tr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left"/>
          </w:pPr>
          <w:r>
            <w:rPr>
              <w:rFonts w:ascii="Georgia" w:hAnsi="Georgia"/>
              <w:color w:val="5A6470"/>
              <w:sz w:val="16"/>
            </w:rPr>
            <w:t>Belisário Maciel Advogados</w:t>
          </w:r>
        </w:p>
      </w:tc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center"/>
          </w:pPr>
          <w:r>
            <w:rPr>
              <w:color w:val="D4AF37"/>
              <w:sz w:val="16"/>
            </w:rPr>
            <w:t>◆</w:t>
          </w:r>
        </w:p>
      </w:tc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right"/>
          </w:pPr>
          <w:r>
            <w:rPr>
              <w:rFonts w:ascii="Georgia" w:hAnsi="Georgia"/>
              <w:color w:val="5A6470"/>
              <w:sz w:val="16"/>
            </w:rPr>
            <w:t xml:space="preserve">Página </w:t>
          </w:r>
          <w:r>
            <w:rPr>
              <w:rFonts w:ascii="Georgia" w:hAnsi="Georgia"/>
              <w:color w:val="5A6470"/>
              <w:sz w:val="16"/>
            </w:rPr>
            <w:fldChar w:fldCharType="begin"/>
            <w:instrText xml:space="preserve"> PAGE </w:instrText>
            <w:fldChar w:fldCharType="end"/>
          </w:r>
        </w:p>
      </w:tc>
    </w:tr>
  </w:tbl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ayout w:type="fixed"/>
      <w:tblLook w:firstColumn="1" w:firstRow="1" w:lastColumn="0" w:lastRow="0" w:noHBand="0" w:noVBand="1" w:val="04A0"/>
    </w:tblPr>
    <w:tblGrid>
      <w:gridCol w:w="4535"/>
      <w:gridCol w:w="4535"/>
    </w:tblGrid>
    <w:tr>
      <w:tc>
        <w:tcPr>
          <w:tcW w:type="dxa" w:w="4535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1152000" cy="17496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-belisario-principal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2000" cy="17496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4535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right"/>
          </w:pPr>
          <w:r>
            <w:rPr>
              <w:rFonts w:ascii="Georgia" w:hAnsi="Georgia"/>
              <w:i/>
              <w:color w:val="5A6470"/>
              <w:sz w:val="16"/>
            </w:rPr>
            <w:t>TCLE Endodontia</w:t>
          </w:r>
        </w:p>
      </w:tc>
    </w:tr>
  </w:tbl>
  <w:p>
    <w:pPr>
      <w:pBdr>
        <w:bottom w:val="single" w:sz="4" w:space="4" w:color="D4AF37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orgia" w:hAnsi="Georgia"/>
      <w:color w:val="111111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header" Target="header1.xml"/><Relationship Id="rId11" Type="http://schemas.openxmlformats.org/officeDocument/2006/relationships/footer" Target="footer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