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12240"/>
      </w:tblGrid>
      <w:tr>
        <w:trPr>
          <w:trHeight w:val="16839" w:hRule="atLeast"/>
        </w:trPr>
        <w:tc>
          <w:tcPr>
            <w:tcW w:type="dxa" w:w="12240"/>
            <w:shd w:val="clear" w:color="auto" w:fill="093145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tcMar>
              <w:top w:w="2400" w:type="dxa"/>
              <w:bottom w:w="900" w:type="dxa"/>
              <w:left w:w="900" w:type="dxa"/>
              <w:right w:w="900" w:type="dxa"/>
            </w:tcMar>
            <w:vAlign w:val="top"/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980000" cy="300712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logo-belisario-principal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0000" cy="300712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r>
              <w:rPr>
                <w:sz w:val="60"/>
              </w:rPr>
            </w:r>
          </w:p>
          <w:p>
            <w:pPr>
              <w:spacing w:after="280"/>
              <w:jc w:val="center"/>
            </w:pPr>
            <w:r>
              <w:rPr>
                <w:rFonts w:ascii="Georgia" w:hAnsi="Georgia"/>
                <w:b/>
                <w:color w:val="C8D4DC"/>
                <w:sz w:val="18"/>
              </w:rPr>
              <w:t>BANCO DE TCLE ODONTOLÓGICO · IMPLANTODONTIA</w:t>
            </w:r>
          </w:p>
          <w:p>
            <w:pPr>
              <w:spacing w:after="200" w:line="276" w:lineRule="auto"/>
              <w:jc w:val="center"/>
            </w:pPr>
            <w:r>
              <w:rPr>
                <w:rFonts w:ascii="Garamond" w:hAnsi="Garamond"/>
                <w:color w:val="FFFFFF"/>
                <w:sz w:val="48"/>
              </w:rPr>
              <w:t>TCLE</w:t>
              <w:br/>
              <w:t>Implante Dentário</w:t>
            </w:r>
          </w:p>
          <w:p>
            <w:pPr>
              <w:spacing w:after="400"/>
              <w:jc w:val="center"/>
            </w:pPr>
            <w:r>
              <w:rPr>
                <w:rFonts w:ascii="Garamond" w:hAnsi="Garamond"/>
                <w:i/>
                <w:color w:val="C8D4DC"/>
                <w:sz w:val="24"/>
              </w:rPr>
              <w:t>Termo de Consentimento Livre e Esclarecido — Modelo Editável</w:t>
            </w:r>
          </w:p>
          <w:p>
            <w:pPr>
              <w:jc w:val="center"/>
            </w:pPr>
            <w:r>
              <w:rPr>
                <w:color w:val="D4AF37"/>
                <w:sz w:val="18"/>
              </w:rPr>
              <w:t>◆ ◆ ◆</w:t>
            </w:r>
          </w:p>
          <w:p>
            <w:r>
              <w:rPr>
                <w:sz w:val="160"/>
              </w:rPr>
            </w:r>
          </w:p>
          <w:p>
            <w:pPr>
              <w:spacing w:after="40"/>
              <w:jc w:val="center"/>
            </w:pPr>
            <w:r>
              <w:rPr>
                <w:rFonts w:ascii="Georgia" w:hAnsi="Georgia"/>
                <w:b/>
                <w:color w:val="FFFFFF"/>
                <w:sz w:val="18"/>
              </w:rPr>
              <w:t>BELISÁRIO MACIEL ADVOGADOS</w:t>
            </w:r>
          </w:p>
          <w:p>
            <w:pPr>
              <w:jc w:val="center"/>
            </w:pPr>
            <w:r>
              <w:rPr>
                <w:rFonts w:ascii="Georgia" w:hAnsi="Georgia"/>
                <w:i/>
                <w:color w:val="C8D4DC"/>
                <w:sz w:val="16"/>
              </w:rPr>
              <w:t>belisario.com.br · São Paulo</w:t>
            </w:r>
          </w:p>
        </w:tc>
      </w:tr>
    </w:tbl>
    <w:p>
      <w:pPr>
        <w:sectPr>
          <w:pgSz w:w="12240" w:h="15840"/>
          <w:pgMar w:top="0" w:right="0" w:bottom="0" w:left="0" w:header="0" w:footer="0" w:gutter="0"/>
          <w:cols w:space="720"/>
          <w:docGrid w:linePitch="360"/>
        </w:sectPr>
      </w:pPr>
    </w:p>
    <w:p>
      <w:pPr>
        <w:spacing w:after="0"/>
      </w:pPr>
    </w:p>
    <w:p>
      <w:pPr>
        <w:spacing w:before="240" w:after="160"/>
        <w:pBdr>
          <w:bottom w:val="single" w:sz="4" w:space="4" w:color="D4AF37"/>
        </w:pBdr>
      </w:pPr>
      <w:r>
        <w:rPr>
          <w:rFonts w:ascii="Garamond" w:hAnsi="Garamond"/>
          <w:color w:val="093145"/>
          <w:sz w:val="36"/>
        </w:rPr>
        <w:t>Como usar este modelo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Este modelo é um TEMPLATE EDITÁVEL. Ele reúne as nove seções defensivas exigidas pela Resolução CFO 118/2012 e pela jurisprudência consolidada em direito médico-odontológico. É obrigação do cirurgião-dentista responsável personalizar cada item conforme caso clínico, técnica empregada e perfil específico do paciente.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9066"/>
      </w:tblGrid>
      <w:tr>
        <w:tc>
          <w:tcPr>
            <w:tcW w:type="dxa" w:w="9066"/>
            <w:shd w:val="clear" w:color="auto" w:fill="F3EFEA"/>
            <w:tcBorders>
              <w:top w:val="nil"/>
              <w:bottom w:val="nil"/>
              <w:right w:val="nil"/>
              <w:left w:val="single" w:sz="24" w:color="9A2618"/>
            </w:tcBorders>
            <w:tcMar>
              <w:top w:w="200" w:type="dxa"/>
              <w:bottom w:w="200" w:type="dxa"/>
              <w:left w:w="300" w:type="dxa"/>
              <w:right w:w="300" w:type="dxa"/>
            </w:tcMar>
          </w:tcPr>
          <w:p>
            <w:r/>
            <w:r>
              <w:rPr>
                <w:rFonts w:ascii="Georgia" w:hAnsi="Georgia"/>
                <w:b/>
                <w:color w:val="9A2618"/>
                <w:sz w:val="18"/>
              </w:rPr>
              <w:t>PERSONALIZAÇÃO OBRIGATÓRIA</w:t>
            </w:r>
          </w:p>
          <w:p>
            <w:pPr>
              <w:spacing w:line="312" w:lineRule="auto"/>
            </w:pPr>
            <w:r>
              <w:rPr>
                <w:rFonts w:ascii="Georgia" w:hAnsi="Georgia"/>
                <w:color w:val="111111"/>
                <w:sz w:val="20"/>
              </w:rPr>
              <w:t>Os campos com [colchetes] devem ser preenchidos. Os riscos clínicos descritos são genéricos e devem ser ajustados ao caso concreto, considerando: técnica cirúrgica utilizada, condições sistêmicas do paciente, complexidade do enxerto (se houver), tipo de implante, sistema de carga (imediata ou tardia) e demais variáveis técnicas.</w:t>
            </w:r>
          </w:p>
        </w:tc>
      </w:tr>
    </w:tbl>
    <w:p>
      <w:pPr>
        <w:spacing w:after="80"/>
      </w:pPr>
    </w:p>
    <w:p>
      <w:pPr>
        <w:spacing w:before="240" w:after="240"/>
        <w:jc w:val="center"/>
      </w:pPr>
      <w:r>
        <w:rPr>
          <w:color w:val="D4AF37"/>
          <w:sz w:val="18"/>
        </w:rPr>
        <w:t>◆ ◆ ◆</w:t>
      </w:r>
    </w:p>
    <w:p>
      <w:pPr>
        <w:spacing w:after="0"/>
      </w:pPr>
    </w:p>
    <w:p>
      <w:pPr>
        <w:spacing w:before="240" w:after="160"/>
        <w:pBdr>
          <w:bottom w:val="single" w:sz="4" w:space="4" w:color="D4AF37"/>
        </w:pBdr>
      </w:pPr>
      <w:r>
        <w:rPr>
          <w:rFonts w:ascii="Garamond" w:hAnsi="Garamond"/>
          <w:color w:val="093145"/>
          <w:sz w:val="36"/>
        </w:rPr>
        <w:t>Termo de Consentimento Livre e Esclarecido — Implante Dentário</w:t>
      </w:r>
    </w:p>
    <w:p>
      <w:pPr>
        <w:keepNext/>
        <w:spacing w:before="280" w:after="80"/>
      </w:pPr>
      <w:r>
        <w:rPr>
          <w:rFonts w:ascii="Garamond" w:hAnsi="Garamond"/>
          <w:b/>
          <w:color w:val="093145"/>
          <w:sz w:val="28"/>
        </w:rPr>
        <w:t>1. Identificação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Paciente: [nome completo, CPF, RG, data de nascimento, endereço, telefone]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Responsável legal (quando aplicável): [nome completo, CPF, parentesco]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Profissional responsável: [nome completo do cirurgião-dentista, CRO/UF, especialidade em Implantodontia se houver]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Local: [endereço da clínica/consultório] · Data: ___/___/_______</w:t>
      </w:r>
    </w:p>
    <w:p>
      <w:pPr>
        <w:keepNext/>
        <w:spacing w:before="280" w:after="80"/>
      </w:pPr>
      <w:r>
        <w:rPr>
          <w:rFonts w:ascii="Garamond" w:hAnsi="Garamond"/>
          <w:b/>
          <w:color w:val="093145"/>
          <w:sz w:val="28"/>
        </w:rPr>
        <w:t>2. Descrição técnica do procedimento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Será realizada cirurgia de instalação de [número] implante(s) dentário(s) na região de [especificar região anatômica]. O procedimento consiste em inserção cirúrgica de pino(s) de titânio no osso alveolar, sob anestesia [local / sedação consciente / geral, conforme caso].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Tempo estimado: [duração prevista]. Sistema: [marca, modelo, dimensões]. Carga: [imediata / tardia, com justificativa].</w:t>
      </w:r>
    </w:p>
    <w:p>
      <w:pPr>
        <w:keepNext/>
        <w:spacing w:before="280" w:after="80"/>
      </w:pPr>
      <w:r>
        <w:rPr>
          <w:rFonts w:ascii="Garamond" w:hAnsi="Garamond"/>
          <w:b/>
          <w:color w:val="093145"/>
          <w:sz w:val="28"/>
        </w:rPr>
        <w:t>3. Indicação clínica específica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A indicação do implante neste caso baseia-se em: [diagnóstico clínico específico]. Os exames complementares que sustentam a indicação são: [radiografia panorâmica, tomografia computadorizada cone beam, planejamento digital quando aplicável].</w:t>
      </w:r>
    </w:p>
    <w:p>
      <w:pPr>
        <w:keepNext/>
        <w:spacing w:before="280" w:after="80"/>
      </w:pPr>
      <w:r>
        <w:rPr>
          <w:rFonts w:ascii="Garamond" w:hAnsi="Garamond"/>
          <w:b/>
          <w:color w:val="093145"/>
          <w:sz w:val="28"/>
        </w:rPr>
        <w:t>4. Alternativas terapêuticas avaliadas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Foram apresentadas e discutidas com o paciente as seguintes alternativas: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[Prótese parcial removível convencional — vantagens e limitações]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[Prótese parcial fixa convencional sobre dentes adjacentes — desgaste de dentes hígidos]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[Não tratamento — implicações funcionais, estéticas e de saúde periodontal]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[Outras alternativas pertinentes ao caso específico]</w:t>
      </w:r>
    </w:p>
    <w:p>
      <w:pPr>
        <w:keepNext/>
        <w:spacing w:before="280" w:after="80"/>
      </w:pPr>
      <w:r>
        <w:rPr>
          <w:rFonts w:ascii="Garamond" w:hAnsi="Garamond"/>
          <w:b/>
          <w:color w:val="093145"/>
          <w:sz w:val="28"/>
        </w:rPr>
        <w:t>5. Riscos típicos e atípicos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Todo procedimento cirúrgico envolve riscos. Os principais riscos descritos pela literatura para a cirurgia de implante incluem:</w:t>
      </w:r>
    </w:p>
    <w:p>
      <w:pPr>
        <w:keepNext/>
        <w:spacing w:before="200" w:after="40"/>
      </w:pPr>
      <w:r>
        <w:rPr>
          <w:rFonts w:ascii="Georgia" w:hAnsi="Georgia"/>
          <w:b/>
          <w:color w:val="9A2618"/>
          <w:sz w:val="21"/>
        </w:rPr>
        <w:t>Riscos típicos (mais frequentes)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Edema (inchaço) e desconforto pós-operatório nos primeiros 3 a 7 dias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Hematoma na região operada, com resolução espontânea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Dor controlável com medicação prescrita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Sangramento leve nas primeiras horas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Limitação temporária da abertura bucal</w:t>
      </w:r>
    </w:p>
    <w:p>
      <w:pPr>
        <w:keepNext/>
        <w:spacing w:before="200" w:after="40"/>
      </w:pPr>
      <w:r>
        <w:rPr>
          <w:rFonts w:ascii="Georgia" w:hAnsi="Georgia"/>
          <w:b/>
          <w:color w:val="9A2618"/>
          <w:sz w:val="21"/>
        </w:rPr>
        <w:t>Riscos atípicos (menos frequentes, relevantes)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Falha de osseointegração — implante pode não se integrar ao osso, exigindo remoção e nova tentativa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Infecção pós-operatória, eventualmente exigindo antibioticoterapia adicional ou remoção do implante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Lesão de estruturas anatômicas vizinhas: nervo alveolar inferior — pode causar parestesia (dormência) temporária ou, raramente, permanente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Perfuração do seio maxilar (maxila posterior) — pode requerer procedimento adicional como elevação do seio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Deiscência dos tecidos moles, com exposição precoce do implante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Necessidade de enxerto ósseo prévio ou simultâneo, dependendo da quantidade e qualidade óssea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Reações adversas a anestésicos ou medicamentos prescritos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Em casos raros, fratura óssea durante o procedimento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9066"/>
      </w:tblGrid>
      <w:tr>
        <w:tc>
          <w:tcPr>
            <w:tcW w:type="dxa" w:w="9066"/>
            <w:shd w:val="clear" w:color="auto" w:fill="F3EFEA"/>
            <w:tcBorders>
              <w:top w:val="nil"/>
              <w:bottom w:val="nil"/>
              <w:right w:val="nil"/>
              <w:left w:val="single" w:sz="24" w:color="9A2618"/>
            </w:tcBorders>
            <w:tcMar>
              <w:top w:w="200" w:type="dxa"/>
              <w:bottom w:w="200" w:type="dxa"/>
              <w:left w:w="300" w:type="dxa"/>
              <w:right w:w="300" w:type="dxa"/>
            </w:tcMar>
          </w:tcPr>
          <w:p>
            <w:r/>
            <w:r>
              <w:rPr>
                <w:rFonts w:ascii="Georgia" w:hAnsi="Georgia"/>
                <w:b/>
                <w:color w:val="9A2618"/>
                <w:sz w:val="18"/>
              </w:rPr>
              <w:t>PERSONALIZAR CONFORME O CASO</w:t>
            </w:r>
          </w:p>
          <w:p>
            <w:pPr>
              <w:spacing w:line="312" w:lineRule="auto"/>
            </w:pPr>
            <w:r>
              <w:rPr>
                <w:rFonts w:ascii="Georgia" w:hAnsi="Georgia"/>
                <w:color w:val="111111"/>
                <w:sz w:val="20"/>
              </w:rPr>
              <w:t>Os riscos acima são gerais. A redação final deve incluir riscos específicos identificados na tomografia (proximidade com nervo alveolar inferior, espessura óssea limítrofe, sinusite preexistente), no perfil do paciente (diabetes, tabagismo, bisfosfonatos) e na técnica empregada.</w:t>
            </w:r>
          </w:p>
        </w:tc>
      </w:tr>
    </w:tbl>
    <w:p>
      <w:pPr>
        <w:spacing w:after="80"/>
      </w:pPr>
    </w:p>
    <w:p>
      <w:pPr>
        <w:keepNext/>
        <w:spacing w:before="280" w:after="80"/>
      </w:pPr>
      <w:r>
        <w:rPr>
          <w:rFonts w:ascii="Garamond" w:hAnsi="Garamond"/>
          <w:b/>
          <w:color w:val="093145"/>
          <w:sz w:val="28"/>
        </w:rPr>
        <w:t>6. Cuidados pré-operatórios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Jejum [conforme protocolo do sedativo, se aplicável]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Higiene oral rigorosa nos dias anteriores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Evitar consumo de álcool 24h antes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Não interromper medicamentos contínuos sem orientação médica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Comunicar imediatamente qualquer alteração de saúde antes da data marcada</w:t>
      </w:r>
    </w:p>
    <w:p>
      <w:pPr>
        <w:keepNext/>
        <w:spacing w:before="280" w:after="80"/>
      </w:pPr>
      <w:r>
        <w:rPr>
          <w:rFonts w:ascii="Garamond" w:hAnsi="Garamond"/>
          <w:b/>
          <w:color w:val="093145"/>
          <w:sz w:val="28"/>
        </w:rPr>
        <w:t>7. Cuidados pós-operatórios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Aplicar compressa fria nas primeiras 24h, sobre a face na região operada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Dieta líquida e fria nos primeiros 2-3 dias, evoluindo para pastosa conforme tolerância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Higiene oral cuidadosa, evitando escovação direta sobre a área cirúrgica nos primeiros dias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Não fumar — o tabagismo compromete significativamente a osseointegração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Não ingerir álcool durante a cicatrização inicial e período de uso de antibiótico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Tomar medicação prescrita (antibiótico, anti-inflamatório, analgésico) conforme orientação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Comparecer aos retornos agendados</w:t>
      </w:r>
    </w:p>
    <w:p>
      <w:pPr>
        <w:pStyle w:val="ListBullet"/>
        <w:spacing w:line="312" w:lineRule="auto" w:after="40"/>
      </w:pPr>
      <w:r>
        <w:rPr>
          <w:rFonts w:ascii="Georgia" w:hAnsi="Georgia"/>
          <w:sz w:val="21"/>
        </w:rPr>
        <w:t>Procurar atendimento imediato em caso de sangramento intenso, febre persistente, dor incontrolável, mobilidade do implante, secreção purulenta</w:t>
      </w:r>
    </w:p>
    <w:p>
      <w:pPr>
        <w:keepNext/>
        <w:spacing w:before="280" w:after="80"/>
      </w:pPr>
      <w:r>
        <w:rPr>
          <w:rFonts w:ascii="Garamond" w:hAnsi="Garamond"/>
          <w:b/>
          <w:color w:val="093145"/>
          <w:sz w:val="28"/>
        </w:rPr>
        <w:t>8. Variabilidade de resultado — obrigação de meio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9066"/>
      </w:tblGrid>
      <w:tr>
        <w:tc>
          <w:tcPr>
            <w:tcW w:type="dxa" w:w="9066"/>
            <w:shd w:val="clear" w:color="auto" w:fill="F3EFEA"/>
            <w:tcBorders>
              <w:top w:val="nil"/>
              <w:bottom w:val="nil"/>
              <w:right w:val="nil"/>
              <w:left w:val="single" w:sz="24" w:color="9A2618"/>
            </w:tcBorders>
            <w:tcMar>
              <w:top w:w="200" w:type="dxa"/>
              <w:bottom w:w="200" w:type="dxa"/>
              <w:left w:w="300" w:type="dxa"/>
              <w:right w:w="300" w:type="dxa"/>
            </w:tcMar>
          </w:tcPr>
          <w:p>
            <w:r/>
            <w:r>
              <w:rPr>
                <w:rFonts w:ascii="Georgia" w:hAnsi="Georgia"/>
                <w:b/>
                <w:color w:val="9A2618"/>
                <w:sz w:val="18"/>
              </w:rPr>
              <w:t>CONSENTIMENTO SOBRE OBRIGAÇÃO DE MEIO</w:t>
            </w:r>
          </w:p>
          <w:p>
            <w:pPr>
              <w:spacing w:line="312" w:lineRule="auto"/>
            </w:pPr>
            <w:r>
              <w:rPr>
                <w:rFonts w:ascii="Georgia" w:hAnsi="Georgia"/>
                <w:color w:val="111111"/>
                <w:sz w:val="20"/>
              </w:rPr>
              <w:t>A Odontologia, em especial a Implantodontia, é OBRIGAÇÃO DE MEIO — o profissional compromete-se a aplicar técnica diligente conforme estado da arte, mas NÃO GARANTE resultado estético ou funcional idêntico ao planejado. Cada paciente responde individualmente. A osseointegração depende de fatores biológicos do próprio paciente; taxas de sucesso variam conforme literatura entre 90-98%, NÃO sendo 100%. O paciente declara estar ciente da variabilidade biológica individual.</w:t>
            </w:r>
          </w:p>
        </w:tc>
      </w:tr>
    </w:tbl>
    <w:p>
      <w:pPr>
        <w:spacing w:after="80"/>
      </w:pPr>
    </w:p>
    <w:p>
      <w:pPr>
        <w:keepNext/>
        <w:spacing w:before="280" w:after="80"/>
      </w:pPr>
      <w:r>
        <w:rPr>
          <w:rFonts w:ascii="Garamond" w:hAnsi="Garamond"/>
          <w:b/>
          <w:color w:val="093145"/>
          <w:sz w:val="28"/>
        </w:rPr>
        <w:t>9. Direito de revogação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O paciente declara estar ciente de que pode revogar este consentimento a qualquer momento antes do início do procedimento, sem qualquer ônus, mediante comunicação escrita ao profissional. Após o início da cirurgia, a interrupção será avaliada caso a caso por critério clínico, sempre priorizando a segurança do paciente.</w:t>
      </w:r>
    </w:p>
    <w:p>
      <w:pPr>
        <w:spacing w:before="240" w:after="240"/>
        <w:jc w:val="center"/>
      </w:pPr>
      <w:r>
        <w:rPr>
          <w:color w:val="D4AF37"/>
          <w:sz w:val="18"/>
        </w:rPr>
        <w:t>◆ ◆ ◆</w:t>
      </w:r>
    </w:p>
    <w:p>
      <w:pPr>
        <w:keepNext/>
        <w:spacing w:before="280" w:after="80"/>
      </w:pPr>
      <w:r>
        <w:rPr>
          <w:rFonts w:ascii="Garamond" w:hAnsi="Garamond"/>
          <w:b/>
          <w:color w:val="093145"/>
          <w:sz w:val="28"/>
        </w:rPr>
        <w:t>Tratamento de dados pessoais (LGPD)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O paciente autoriza o tratamento de seus dados pessoais e de saúde para finalidade exclusivamente clínica, conforme a Lei 13.709/2018 (LGPD). Os dados serão arquivados pelo prazo mínimo legal (20 anos a partir do último atendimento), com acesso restrito ao profissional responsável e equipe diretamente envolvida.</w:t>
      </w:r>
    </w:p>
    <w:p>
      <w:pPr>
        <w:spacing w:before="240" w:after="240"/>
        <w:jc w:val="center"/>
      </w:pPr>
      <w:r>
        <w:rPr>
          <w:color w:val="D4AF37"/>
          <w:sz w:val="18"/>
        </w:rPr>
        <w:t>◆ ◆ ◆</w:t>
      </w:r>
    </w:p>
    <w:p>
      <w:pPr>
        <w:keepNext/>
        <w:spacing w:before="280" w:after="80"/>
      </w:pPr>
      <w:r>
        <w:rPr>
          <w:rFonts w:ascii="Garamond" w:hAnsi="Garamond"/>
          <w:b/>
          <w:color w:val="093145"/>
          <w:sz w:val="28"/>
        </w:rPr>
        <w:t>Declaração final e assinaturas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Declaro que li integralmente este Termo, que minhas dúvidas foram esclarecidas pelo profissional, que compreendo a natureza do procedimento, alternativas, riscos, cuidados e variabilidade de resultado, e que CONSINTO LIVRE E ESCLARECIDAMENTE com a realização do tratamento descrito.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br/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_________________________________________________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Paciente (ou responsável legal): [nome] — CPF: [_______]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Data: ___/___/_______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br/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_________________________________________________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Profissional responsável: [nome] — CRO/UF [_______]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Data: ___/___/_______</w:t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br/>
      </w:r>
    </w:p>
    <w:p>
      <w:pPr>
        <w:spacing w:lineRule="auto" w:line="324" w:after="120"/>
        <w:jc w:val="both"/>
      </w:pPr>
      <w:r>
        <w:rPr>
          <w:rFonts w:ascii="Georgia" w:hAnsi="Georgia"/>
          <w:i w:val="0"/>
          <w:sz w:val="21"/>
        </w:rPr>
        <w:t>Testemunha (quando aplicável): _________________________________________________</w:t>
      </w:r>
    </w:p>
    <w:p>
      <w:pPr>
        <w:spacing w:before="240" w:after="240"/>
        <w:jc w:val="center"/>
      </w:pPr>
      <w:r>
        <w:rPr>
          <w:color w:val="D4AF37"/>
          <w:sz w:val="18"/>
        </w:rPr>
        <w:t>◆ ◆ ◆</w:t>
      </w:r>
    </w:p>
    <w:p>
      <w:pPr>
        <w:keepNext/>
        <w:spacing w:before="280" w:after="80"/>
      </w:pPr>
      <w:r>
        <w:rPr>
          <w:rFonts w:ascii="Garamond" w:hAnsi="Garamond"/>
          <w:b/>
          <w:color w:val="093145"/>
          <w:sz w:val="28"/>
        </w:rPr>
        <w:t>Quem está por trás deste material</w:t>
      </w:r>
    </w:p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4252"/>
        <w:gridCol w:w="4252"/>
      </w:tblGrid>
      <w:tr>
        <w:tc>
          <w:tcPr>
            <w:tcW w:type="dxa" w:w="4533"/>
            <w:shd w:val="clear" w:color="auto" w:fill="F3EFE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tcMar>
              <w:top w:w="240" w:type="dxa"/>
              <w:bottom w:w="240" w:type="dxa"/>
              <w:left w:w="320" w:type="dxa"/>
              <w:right w:w="320" w:type="dxa"/>
            </w:tcMar>
          </w:tcPr>
          <w:p>
            <w:r/>
            <w:r>
              <w:rPr>
                <w:rFonts w:ascii="Georgia" w:hAnsi="Georgia"/>
                <w:b/>
                <w:color w:val="9A2618"/>
                <w:sz w:val="17"/>
              </w:rPr>
              <w:t>ELABORAÇÃO JURÍDICA</w:t>
            </w:r>
          </w:p>
          <w:p>
            <w:r>
              <w:rPr>
                <w:rFonts w:ascii="Garamond" w:hAnsi="Garamond"/>
                <w:b/>
                <w:color w:val="093145"/>
                <w:sz w:val="24"/>
              </w:rPr>
              <w:t>Dr. Luiggi Belisário · OAB/SP 513.090</w:t>
            </w:r>
          </w:p>
          <w:p>
            <w:r>
              <w:rPr>
                <w:rFonts w:ascii="Georgia" w:hAnsi="Georgia"/>
                <w:color w:val="111111"/>
                <w:sz w:val="18"/>
              </w:rPr>
              <w:t>Sócio-fundador · Belisário Maciel Advogados</w:t>
              <w:br/>
              <w:t>Direito Médico e Odontológico</w:t>
            </w:r>
          </w:p>
        </w:tc>
        <w:tc>
          <w:tcPr>
            <w:tcW w:type="dxa" w:w="4533"/>
            <w:shd w:val="clear" w:color="auto" w:fill="F3EFEA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tcMar>
              <w:top w:w="240" w:type="dxa"/>
              <w:bottom w:w="240" w:type="dxa"/>
              <w:left w:w="320" w:type="dxa"/>
              <w:right w:w="320" w:type="dxa"/>
            </w:tcMar>
          </w:tcPr>
          <w:p>
            <w:r/>
            <w:r>
              <w:rPr>
                <w:rFonts w:ascii="Georgia" w:hAnsi="Georgia"/>
                <w:b/>
                <w:color w:val="9A2618"/>
                <w:sz w:val="17"/>
              </w:rPr>
              <w:t>VALIDAÇÃO TÉCNICA ODONTOLÓGICA</w:t>
            </w:r>
          </w:p>
          <w:p>
            <w:r>
              <w:rPr>
                <w:rFonts w:ascii="Garamond" w:hAnsi="Garamond"/>
                <w:b/>
                <w:color w:val="093145"/>
                <w:sz w:val="24"/>
              </w:rPr>
              <w:t>Dra. Bianca Stéfann Sousa Chagas</w:t>
            </w:r>
          </w:p>
          <w:p>
            <w:r>
              <w:rPr>
                <w:rFonts w:ascii="Georgia" w:hAnsi="Georgia"/>
                <w:color w:val="111111"/>
                <w:sz w:val="18"/>
              </w:rPr>
              <w:t>CRO/SP 152329</w:t>
              <w:br/>
              <w:t>Validação técnica odontológica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9066"/>
      </w:tblGrid>
      <w:tr>
        <w:tc>
          <w:tcPr>
            <w:tcW w:type="dxa" w:w="9066"/>
            <w:shd w:val="clear" w:color="auto" w:fill="F3EFEA"/>
            <w:tcBorders>
              <w:top w:val="nil"/>
              <w:bottom w:val="nil"/>
              <w:right w:val="nil"/>
              <w:left w:val="single" w:sz="24" w:color="9A2618"/>
            </w:tcBorders>
            <w:tcMar>
              <w:top w:w="200" w:type="dxa"/>
              <w:bottom w:w="200" w:type="dxa"/>
              <w:left w:w="300" w:type="dxa"/>
              <w:right w:w="300" w:type="dxa"/>
            </w:tcMar>
          </w:tcPr>
          <w:p>
            <w:r/>
            <w:r>
              <w:rPr>
                <w:rFonts w:ascii="Georgia" w:hAnsi="Georgia"/>
                <w:b/>
                <w:color w:val="9A2618"/>
                <w:sz w:val="18"/>
              </w:rPr>
              <w:t>AVISO DE RESPONSABILIDADE</w:t>
            </w:r>
          </w:p>
          <w:p>
            <w:pPr>
              <w:spacing w:line="312" w:lineRule="auto"/>
            </w:pPr>
            <w:r>
              <w:rPr>
                <w:rFonts w:ascii="Georgia" w:hAnsi="Georgia"/>
                <w:color w:val="111111"/>
                <w:sz w:val="20"/>
              </w:rPr>
              <w:t>A elaboração jurídica e a responsabilidade contratual permanecem com o Belisário Maciel Advogados. Os modelos são templates educativos e devem ser personalizados pelo cirurgião-dentista responsável conforme caso clínico, técnica empregada e perfil do paciente. A revisão técnica abrange a adequação dos riscos clínicos e cuidados gerais à literatura e diretrizes da especialidade — não substitui análise individualizada de cada caso pelo profissional responsável.</w:t>
            </w:r>
          </w:p>
        </w:tc>
      </w:tr>
    </w:tbl>
    <w:p>
      <w:pPr>
        <w:spacing w:after="80"/>
      </w:pPr>
    </w:p>
    <w:p>
      <w:pPr>
        <w:spacing w:before="240" w:after="240"/>
        <w:jc w:val="center"/>
      </w:pPr>
      <w:r>
        <w:rPr>
          <w:color w:val="D4AF37"/>
          <w:sz w:val="18"/>
        </w:rPr>
        <w:t>◆ ◆ ◆</w:t>
      </w:r>
    </w:p>
    <w:p>
      <w:pPr>
        <w:jc w:val="center"/>
      </w:pPr>
      <w:r>
        <w:rPr>
          <w:rFonts w:ascii="Georgia" w:hAnsi="Georgia"/>
          <w:b/>
          <w:color w:val="093145"/>
          <w:sz w:val="20"/>
        </w:rPr>
        <w:t>BELISÁRIO MACIEL ADVOGADOS</w:t>
      </w:r>
    </w:p>
    <w:p>
      <w:pPr>
        <w:jc w:val="center"/>
      </w:pPr>
      <w:r>
        <w:rPr>
          <w:rFonts w:ascii="Georgia" w:hAnsi="Georgia"/>
          <w:i/>
          <w:color w:val="5A6470"/>
          <w:sz w:val="17"/>
        </w:rPr>
        <w:t>Direito Médico e Odontológico · São Paulo · belisario.com.br</w:t>
      </w:r>
    </w:p>
    <w:p>
      <w:pPr>
        <w:jc w:val="center"/>
      </w:pPr>
      <w:r>
        <w:rPr>
          <w:rFonts w:ascii="Georgia" w:hAnsi="Georgia"/>
          <w:color w:val="5A6470"/>
          <w:sz w:val="15"/>
        </w:rPr>
        <w:t>Documento versão 1.1 · May de 2026</w:t>
        <w:br/>
        <w:t>Este material é educativo e não substitui consultoria jurídica individualizada.</w:t>
      </w:r>
    </w:p>
    <w:sectPr w:rsidR="00FC693F" w:rsidRPr="0006063C" w:rsidSect="00034616">
      <w:headerReference w:type="default" r:id="rId10"/>
      <w:footerReference w:type="default" r:id="rId11"/>
      <w:pgSz w:w="12240" w:h="15840"/>
      <w:pgMar w:top="1474" w:right="1587" w:bottom="1474" w:left="1587" w:header="680" w:footer="68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</w:pPr>
  </w:p>
  <w:tbl>
    <w:tblPr>
      <w:tblW w:type="auto" w:w="0"/>
      <w:tblLayout w:type="fixed"/>
      <w:tblLook w:firstColumn="1" w:firstRow="1" w:lastColumn="0" w:lastRow="0" w:noHBand="0" w:noVBand="1" w:val="04A0"/>
    </w:tblPr>
    <w:tblGrid>
      <w:gridCol w:w="3402"/>
      <w:gridCol w:w="2268"/>
      <w:gridCol w:w="3402"/>
    </w:tblGrid>
    <w:tr>
      <w:tc>
        <w:tcPr>
          <w:tcW w:type="dxa" w:w="3024"/>
          <w:tcBorders>
            <w:top w:val="nil"/>
            <w:left w:val="nil"/>
            <w:bottom w:val="nil"/>
            <w:right w:val="nil"/>
            <w:insideH w:val="nil"/>
            <w:insideV w:val="nil"/>
          </w:tcBorders>
        </w:tcPr>
        <w:p>
          <w:pPr>
            <w:jc w:val="left"/>
          </w:pPr>
          <w:r>
            <w:rPr>
              <w:rFonts w:ascii="Georgia" w:hAnsi="Georgia"/>
              <w:color w:val="5A6470"/>
              <w:sz w:val="16"/>
            </w:rPr>
            <w:t>Belisário Maciel Advogados</w:t>
          </w:r>
        </w:p>
      </w:tc>
      <w:tc>
        <w:tcPr>
          <w:tcW w:type="dxa" w:w="3024"/>
          <w:tcBorders>
            <w:top w:val="nil"/>
            <w:left w:val="nil"/>
            <w:bottom w:val="nil"/>
            <w:right w:val="nil"/>
            <w:insideH w:val="nil"/>
            <w:insideV w:val="nil"/>
          </w:tcBorders>
        </w:tcPr>
        <w:p>
          <w:pPr>
            <w:jc w:val="center"/>
          </w:pPr>
          <w:r>
            <w:rPr>
              <w:color w:val="D4AF37"/>
              <w:sz w:val="16"/>
            </w:rPr>
            <w:t>◆</w:t>
          </w:r>
        </w:p>
      </w:tc>
      <w:tc>
        <w:tcPr>
          <w:tcW w:type="dxa" w:w="3024"/>
          <w:tcBorders>
            <w:top w:val="nil"/>
            <w:left w:val="nil"/>
            <w:bottom w:val="nil"/>
            <w:right w:val="nil"/>
            <w:insideH w:val="nil"/>
            <w:insideV w:val="nil"/>
          </w:tcBorders>
        </w:tcPr>
        <w:p>
          <w:pPr>
            <w:jc w:val="right"/>
          </w:pPr>
          <w:r>
            <w:rPr>
              <w:rFonts w:ascii="Georgia" w:hAnsi="Georgia"/>
              <w:color w:val="5A6470"/>
              <w:sz w:val="16"/>
            </w:rPr>
            <w:t xml:space="preserve">Página </w:t>
          </w:r>
          <w:r>
            <w:rPr>
              <w:rFonts w:ascii="Georgia" w:hAnsi="Georgia"/>
              <w:color w:val="5A6470"/>
              <w:sz w:val="16"/>
            </w:rPr>
            <w:fldChar w:fldCharType="begin"/>
            <w:instrText xml:space="preserve"> PAGE </w:instrText>
            <w:fldChar w:fldCharType="end"/>
          </w:r>
        </w:p>
      </w:tc>
    </w:tr>
  </w:tbl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</w:p>
  <w:tbl>
    <w:tblPr>
      <w:tblW w:type="auto" w:w="0"/>
      <w:tblLayout w:type="fixed"/>
      <w:tblLook w:firstColumn="1" w:firstRow="1" w:lastColumn="0" w:lastRow="0" w:noHBand="0" w:noVBand="1" w:val="04A0"/>
    </w:tblPr>
    <w:tblGrid>
      <w:gridCol w:w="4535"/>
      <w:gridCol w:w="4535"/>
    </w:tblGrid>
    <w:tr>
      <w:tc>
        <w:tcPr>
          <w:tcW w:type="dxa" w:w="4535"/>
          <w:tcBorders>
            <w:top w:val="nil"/>
            <w:left w:val="nil"/>
            <w:bottom w:val="nil"/>
            <w:right w:val="nil"/>
            <w:insideH w:val="nil"/>
            <w:insideV w:val="nil"/>
          </w:tcBorders>
        </w:tcPr>
        <w:p>
          <w:pPr>
            <w:jc w:val="left"/>
          </w:pPr>
          <w:r>
            <w:drawing>
              <wp:inline xmlns:a="http://schemas.openxmlformats.org/drawingml/2006/main" xmlns:pic="http://schemas.openxmlformats.org/drawingml/2006/picture">
                <wp:extent cx="1152000" cy="174960"/>
                <wp:docPr id="1" name="Picture 1"/>
                <wp:cNvGraphicFramePr>
                  <a:graphicFrameLocks noChangeAspect="1"/>
                </wp:cNvGraphicFramePr>
                <a:graphic>
                  <a:graphicData uri="http://schemas.openxmlformats.org/drawingml/2006/picture">
                    <pic:pic>
                      <pic:nvPicPr>
                        <pic:cNvPr id="0" name="logo-belisario-principal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52000" cy="174960"/>
                        </a:xfrm>
                        <a:prstGeom prst="rect"/>
                      </pic:spPr>
                    </pic:pic>
                  </a:graphicData>
                </a:graphic>
              </wp:inline>
            </w:drawing>
          </w:r>
        </w:p>
      </w:tc>
      <w:tc>
        <w:tcPr>
          <w:tcW w:type="dxa" w:w="4535"/>
          <w:tcBorders>
            <w:top w:val="nil"/>
            <w:left w:val="nil"/>
            <w:bottom w:val="nil"/>
            <w:right w:val="nil"/>
            <w:insideH w:val="nil"/>
            <w:insideV w:val="nil"/>
          </w:tcBorders>
        </w:tcPr>
        <w:p>
          <w:pPr>
            <w:jc w:val="right"/>
          </w:pPr>
          <w:r>
            <w:rPr>
              <w:rFonts w:ascii="Georgia" w:hAnsi="Georgia"/>
              <w:i/>
              <w:color w:val="5A6470"/>
              <w:sz w:val="16"/>
            </w:rPr>
            <w:t>TCLE Implante Dentário</w:t>
          </w:r>
        </w:p>
      </w:tc>
    </w:tr>
  </w:tbl>
  <w:p>
    <w:pPr>
      <w:pBdr>
        <w:bottom w:val="single" w:sz="4" w:space="4" w:color="D4AF37"/>
      </w:pBd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orgia" w:hAnsi="Georgia"/>
      <w:color w:val="111111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header" Target="header1.xml"/><Relationship Id="rId11" Type="http://schemas.openxmlformats.org/officeDocument/2006/relationships/footer" Target="footer1.xml"/></Relationships>
</file>

<file path=word/_rels/header1.xml.rels><?xml version='1.0' encoding='UTF-8' standalone='yes'?>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